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5879"/>
      </w:tblGrid>
      <w:tr w:rsidR="00DB0F73" w14:paraId="0DA4D458" w14:textId="77777777" w:rsidTr="00142B50">
        <w:trPr>
          <w:trHeight w:val="1907"/>
        </w:trPr>
        <w:tc>
          <w:tcPr>
            <w:tcW w:w="3242" w:type="dxa"/>
            <w:vAlign w:val="center"/>
          </w:tcPr>
          <w:p w14:paraId="41B4C15E" w14:textId="1730682E" w:rsidR="00DB0F73" w:rsidRPr="00142B50" w:rsidRDefault="00DB0F73" w:rsidP="00142B50">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42B50">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VI</w:t>
            </w:r>
          </w:p>
          <w:p w14:paraId="7BDB37B5" w14:textId="015B96BC" w:rsidR="00DB0F73" w:rsidRPr="00142B50" w:rsidRDefault="00DB0F73" w:rsidP="00142B50">
            <w:pPr>
              <w:jc w:val="center"/>
              <w:rPr>
                <w:rFonts w:ascii="Averta Bold" w:hAnsi="Averta Bold"/>
                <w:b/>
                <w:color w:val="BCA986"/>
                <w:sz w:val="40"/>
                <w:szCs w:val="40"/>
              </w:rPr>
            </w:pPr>
            <w:r w:rsidRPr="00142B50">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tc>
        <w:tc>
          <w:tcPr>
            <w:tcW w:w="5879" w:type="dxa"/>
            <w:vAlign w:val="center"/>
            <w:hideMark/>
          </w:tcPr>
          <w:p w14:paraId="23F51EA1" w14:textId="7D12A201" w:rsidR="00DB0F73" w:rsidRPr="00142B50" w:rsidRDefault="00DB0F73" w:rsidP="00DB0F73">
            <w:pPr>
              <w:rPr>
                <w:rFonts w:ascii="Averta Bold" w:hAnsi="Averta Bold"/>
                <w:b/>
                <w:color w:val="BCA986"/>
                <w:sz w:val="40"/>
                <w:szCs w:val="40"/>
              </w:rPr>
            </w:pPr>
            <w:r w:rsidRPr="00142B50">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INTEGRACIÓN DE LA CUENTA PÚBLICA ESTATAL</w:t>
            </w:r>
          </w:p>
        </w:tc>
      </w:tr>
    </w:tbl>
    <w:p w14:paraId="011CC69A" w14:textId="64087E4F" w:rsidR="00F61D4B" w:rsidRPr="00AA0ABD" w:rsidRDefault="00F61D4B" w:rsidP="00F61D4B">
      <w:pPr>
        <w:suppressAutoHyphens/>
        <w:jc w:val="both"/>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La Cuenta Pública Estatal se define como el documento mediante el cual el Poder Ejecutivo informa anualmente al Poder Legislativo, y a la sociedad en general, sobre los resultados logrados con la ejecución de la Ley de Ingresos y el ejercicio del Presupuesto de Egresos aprobado para cada ejercicio fiscal.</w:t>
      </w:r>
    </w:p>
    <w:p w14:paraId="1F0F9A8A" w14:textId="77777777" w:rsidR="00F61D4B" w:rsidRPr="00AA0ABD" w:rsidRDefault="00F61D4B" w:rsidP="00F61D4B">
      <w:pPr>
        <w:suppressAutoHyphens/>
        <w:jc w:val="both"/>
        <w:rPr>
          <w:rFonts w:ascii="Averta" w:hAnsi="Averta" w:cs="Tahoma"/>
          <w:color w:val="000000" w:themeColor="text1"/>
          <w:sz w:val="22"/>
          <w:szCs w:val="22"/>
          <w:lang w:val="es-MX" w:eastAsia="es-MX"/>
        </w:rPr>
      </w:pPr>
    </w:p>
    <w:p w14:paraId="34A859E7" w14:textId="48E47128" w:rsidR="00F61D4B" w:rsidRPr="00AA0ABD" w:rsidRDefault="00F61D4B" w:rsidP="00F61D4B">
      <w:pPr>
        <w:suppressAutoHyphens/>
        <w:jc w:val="both"/>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 xml:space="preserve">La Cuenta Pública Estatal será formulada e integrada por la SAFIN, en específico por la Dirección </w:t>
      </w:r>
      <w:r w:rsidR="008970B9" w:rsidRPr="00AA0ABD">
        <w:rPr>
          <w:rFonts w:ascii="Averta" w:hAnsi="Averta" w:cs="Tahoma"/>
          <w:color w:val="000000" w:themeColor="text1"/>
          <w:sz w:val="22"/>
          <w:szCs w:val="22"/>
          <w:lang w:val="es-MX" w:eastAsia="es-MX"/>
        </w:rPr>
        <w:t xml:space="preserve">General </w:t>
      </w:r>
      <w:r w:rsidRPr="00AA0ABD">
        <w:rPr>
          <w:rFonts w:ascii="Averta" w:hAnsi="Averta" w:cs="Tahoma"/>
          <w:color w:val="000000" w:themeColor="text1"/>
          <w:sz w:val="22"/>
          <w:szCs w:val="22"/>
          <w:lang w:val="es-MX" w:eastAsia="es-MX"/>
        </w:rPr>
        <w:t xml:space="preserve">de Contabilidad Gubernamental, por lo que los </w:t>
      </w:r>
      <w:r w:rsidR="00342E96" w:rsidRPr="00AA0ABD">
        <w:rPr>
          <w:rFonts w:ascii="Averta" w:hAnsi="Averta" w:cs="Tahoma"/>
          <w:color w:val="000000" w:themeColor="text1"/>
          <w:sz w:val="22"/>
          <w:szCs w:val="22"/>
          <w:lang w:val="es-MX" w:eastAsia="es-MX"/>
        </w:rPr>
        <w:t>E</w:t>
      </w:r>
      <w:r w:rsidRPr="00AA0ABD">
        <w:rPr>
          <w:rFonts w:ascii="Averta" w:hAnsi="Averta" w:cs="Tahoma"/>
          <w:color w:val="000000" w:themeColor="text1"/>
          <w:sz w:val="22"/>
          <w:szCs w:val="22"/>
          <w:lang w:val="es-MX" w:eastAsia="es-MX"/>
        </w:rPr>
        <w:t xml:space="preserve">ntes </w:t>
      </w:r>
      <w:r w:rsidR="00342E96" w:rsidRPr="00AA0ABD">
        <w:rPr>
          <w:rFonts w:ascii="Averta" w:hAnsi="Averta" w:cs="Tahoma"/>
          <w:color w:val="000000" w:themeColor="text1"/>
          <w:sz w:val="22"/>
          <w:szCs w:val="22"/>
          <w:lang w:val="es-MX" w:eastAsia="es-MX"/>
        </w:rPr>
        <w:t>P</w:t>
      </w:r>
      <w:r w:rsidRPr="00AA0ABD">
        <w:rPr>
          <w:rFonts w:ascii="Averta" w:hAnsi="Averta" w:cs="Tahoma"/>
          <w:color w:val="000000" w:themeColor="text1"/>
          <w:sz w:val="22"/>
          <w:szCs w:val="22"/>
          <w:lang w:val="es-MX" w:eastAsia="es-MX"/>
        </w:rPr>
        <w:t>úblicos de la Entidad remitirán la información</w:t>
      </w:r>
      <w:r w:rsidR="008970B9" w:rsidRPr="00AA0ABD">
        <w:rPr>
          <w:rFonts w:ascii="Averta" w:hAnsi="Averta" w:cs="Tahoma"/>
          <w:color w:val="000000" w:themeColor="text1"/>
          <w:sz w:val="22"/>
          <w:szCs w:val="22"/>
          <w:lang w:val="es-MX" w:eastAsia="es-MX"/>
        </w:rPr>
        <w:t xml:space="preserve"> a ésta,</w:t>
      </w:r>
      <w:r w:rsidRPr="00AA0ABD">
        <w:rPr>
          <w:rFonts w:ascii="Averta" w:hAnsi="Averta" w:cs="Tahoma"/>
          <w:color w:val="000000" w:themeColor="text1"/>
          <w:sz w:val="22"/>
          <w:szCs w:val="22"/>
          <w:lang w:val="es-MX" w:eastAsia="es-MX"/>
        </w:rPr>
        <w:t xml:space="preserve"> en los términos en que se solicite.</w:t>
      </w:r>
    </w:p>
    <w:p w14:paraId="6C2DE091" w14:textId="6A22637A" w:rsidR="00F61D4B" w:rsidRPr="00AA0ABD" w:rsidRDefault="00F61D4B" w:rsidP="00C23634">
      <w:pPr>
        <w:pStyle w:val="Ttulo1"/>
        <w:rPr>
          <w:rFonts w:ascii="Averta" w:hAnsi="Averta"/>
          <w:color w:val="000000" w:themeColor="text1"/>
          <w:sz w:val="22"/>
          <w:szCs w:val="22"/>
          <w:lang w:val="es-MX"/>
        </w:rPr>
      </w:pPr>
      <w:r w:rsidRPr="00AA0ABD">
        <w:rPr>
          <w:rFonts w:ascii="Averta" w:hAnsi="Averta"/>
          <w:color w:val="000000" w:themeColor="text1"/>
          <w:sz w:val="22"/>
          <w:szCs w:val="22"/>
          <w:lang w:val="es-MX"/>
        </w:rPr>
        <w:t>6.1.</w:t>
      </w:r>
      <w:r w:rsidRPr="00AA0ABD">
        <w:rPr>
          <w:rFonts w:ascii="Averta" w:hAnsi="Averta"/>
          <w:color w:val="000000" w:themeColor="text1"/>
          <w:sz w:val="22"/>
          <w:szCs w:val="22"/>
          <w:lang w:val="es-MX"/>
        </w:rPr>
        <w:tab/>
        <w:t>Marco Regulatorio.</w:t>
      </w:r>
    </w:p>
    <w:p w14:paraId="444F2F57" w14:textId="77777777" w:rsidR="00B649AA" w:rsidRPr="00AA0ABD" w:rsidRDefault="00B649AA" w:rsidP="00B649AA">
      <w:pPr>
        <w:suppressAutoHyphens/>
        <w:rPr>
          <w:rFonts w:ascii="Averta" w:hAnsi="Averta"/>
          <w:b/>
          <w:color w:val="000000" w:themeColor="text1"/>
          <w:sz w:val="22"/>
          <w:szCs w:val="22"/>
          <w:lang w:val="es-MX"/>
        </w:rPr>
      </w:pPr>
    </w:p>
    <w:p w14:paraId="08B0EAD2" w14:textId="51D778E1" w:rsidR="00F61D4B" w:rsidRPr="00AA0ABD" w:rsidRDefault="00F61D4B" w:rsidP="00F61D4B">
      <w:pPr>
        <w:pStyle w:val="Default"/>
        <w:ind w:right="49"/>
        <w:jc w:val="both"/>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rPr>
        <w:t xml:space="preserve">La integración </w:t>
      </w:r>
      <w:r w:rsidR="00AB1995" w:rsidRPr="00AA0ABD">
        <w:rPr>
          <w:rFonts w:ascii="Averta" w:hAnsi="Averta" w:cs="Tahoma"/>
          <w:color w:val="000000" w:themeColor="text1"/>
          <w:sz w:val="22"/>
          <w:szCs w:val="22"/>
          <w:lang w:val="es-MX"/>
        </w:rPr>
        <w:t xml:space="preserve">y la presentación </w:t>
      </w:r>
      <w:r w:rsidRPr="00AA0ABD">
        <w:rPr>
          <w:rFonts w:ascii="Averta" w:hAnsi="Averta" w:cs="Tahoma"/>
          <w:color w:val="000000" w:themeColor="text1"/>
          <w:sz w:val="22"/>
          <w:szCs w:val="22"/>
          <w:lang w:val="es-MX"/>
        </w:rPr>
        <w:t xml:space="preserve">de la Cuenta Pública Estatal, está normada por diversas disposiciones legales de carácter obligatorio para las Entidades Federativas de los Estados Unidos Mexicanos. Se mencionan </w:t>
      </w:r>
      <w:r w:rsidRPr="00AA0ABD">
        <w:rPr>
          <w:rFonts w:ascii="Averta" w:hAnsi="Averta" w:cs="Tahoma"/>
          <w:color w:val="000000" w:themeColor="text1"/>
          <w:sz w:val="22"/>
          <w:szCs w:val="22"/>
          <w:lang w:val="es-MX" w:eastAsia="es-MX"/>
        </w:rPr>
        <w:t>las principales:</w:t>
      </w:r>
    </w:p>
    <w:p w14:paraId="5245375D" w14:textId="77777777" w:rsidR="00F668DE" w:rsidRPr="00AA0ABD" w:rsidRDefault="00F668DE" w:rsidP="00F61D4B">
      <w:pPr>
        <w:pStyle w:val="Default"/>
        <w:ind w:right="49"/>
        <w:jc w:val="both"/>
        <w:rPr>
          <w:rFonts w:ascii="Averta" w:hAnsi="Averta" w:cs="Tahoma"/>
          <w:color w:val="000000" w:themeColor="text1"/>
          <w:sz w:val="22"/>
          <w:szCs w:val="22"/>
          <w:lang w:val="es-MX" w:eastAsia="es-MX"/>
        </w:rPr>
      </w:pPr>
    </w:p>
    <w:p w14:paraId="1CEA796B" w14:textId="77777777" w:rsidR="00F668DE" w:rsidRPr="00AA0ABD" w:rsidRDefault="00F61D4B" w:rsidP="00F668DE">
      <w:pPr>
        <w:pStyle w:val="Subttulo"/>
        <w:jc w:val="both"/>
        <w:rPr>
          <w:rStyle w:val="Ttulo2Car"/>
          <w:rFonts w:ascii="Averta" w:eastAsiaTheme="majorEastAsia" w:hAnsi="Averta"/>
          <w:b w:val="0"/>
          <w:color w:val="000000" w:themeColor="text1"/>
          <w:sz w:val="22"/>
          <w:szCs w:val="22"/>
        </w:rPr>
      </w:pPr>
      <w:r w:rsidRPr="00AA0ABD">
        <w:rPr>
          <w:rFonts w:ascii="Averta" w:hAnsi="Averta"/>
          <w:color w:val="000000" w:themeColor="text1"/>
          <w:lang w:val="es-MX"/>
        </w:rPr>
        <w:t>6.1.1.</w:t>
      </w:r>
      <w:r w:rsidRPr="00AA0ABD">
        <w:rPr>
          <w:rFonts w:ascii="Averta" w:hAnsi="Averta"/>
          <w:color w:val="000000" w:themeColor="text1"/>
          <w:lang w:val="es-MX"/>
        </w:rPr>
        <w:tab/>
      </w:r>
      <w:bookmarkStart w:id="0" w:name="_Hlk182222378"/>
      <w:r w:rsidRPr="00AA0ABD">
        <w:rPr>
          <w:rStyle w:val="Ttulo2Car"/>
          <w:rFonts w:ascii="Averta" w:eastAsiaTheme="majorEastAsia" w:hAnsi="Averta"/>
          <w:color w:val="000000" w:themeColor="text1"/>
          <w:sz w:val="22"/>
          <w:szCs w:val="22"/>
        </w:rPr>
        <w:t xml:space="preserve">Ley General de Contabilidad Gubernamental (LGCG) </w:t>
      </w:r>
      <w:r w:rsidRPr="00AA0ABD">
        <w:rPr>
          <w:rStyle w:val="Ttulo2Car"/>
          <w:rFonts w:ascii="Averta" w:eastAsiaTheme="majorEastAsia" w:hAnsi="Averta"/>
          <w:b w:val="0"/>
          <w:color w:val="000000" w:themeColor="text1"/>
          <w:sz w:val="22"/>
          <w:szCs w:val="22"/>
        </w:rPr>
        <w:t>(</w:t>
      </w:r>
      <w:r w:rsidR="008970B9" w:rsidRPr="00AA0ABD">
        <w:rPr>
          <w:rFonts w:ascii="Averta" w:hAnsi="Averta"/>
          <w:color w:val="000000" w:themeColor="text1"/>
          <w:lang w:val="es-MX"/>
        </w:rPr>
        <w:t>Última</w:t>
      </w:r>
      <w:r w:rsidR="008970B9" w:rsidRPr="00AA0ABD">
        <w:rPr>
          <w:rStyle w:val="Ttulo2Car"/>
          <w:rFonts w:ascii="Averta" w:eastAsiaTheme="majorEastAsia" w:hAnsi="Averta"/>
          <w:color w:val="000000" w:themeColor="text1"/>
          <w:sz w:val="22"/>
          <w:szCs w:val="22"/>
        </w:rPr>
        <w:t xml:space="preserve"> Reforma del 01 de abril de 2024</w:t>
      </w:r>
      <w:r w:rsidRPr="00AA0ABD">
        <w:rPr>
          <w:rStyle w:val="Ttulo2Car"/>
          <w:rFonts w:ascii="Averta" w:eastAsiaTheme="majorEastAsia" w:hAnsi="Averta"/>
          <w:b w:val="0"/>
          <w:color w:val="000000" w:themeColor="text1"/>
          <w:sz w:val="22"/>
          <w:szCs w:val="22"/>
        </w:rPr>
        <w:t xml:space="preserve">). </w:t>
      </w:r>
      <w:bookmarkEnd w:id="0"/>
    </w:p>
    <w:p w14:paraId="062D406D" w14:textId="69D7F54D" w:rsidR="00F61D4B" w:rsidRPr="00AA0ABD" w:rsidRDefault="00F61D4B" w:rsidP="00F668DE">
      <w:pPr>
        <w:rPr>
          <w:rFonts w:ascii="Averta" w:hAnsi="Averta"/>
          <w:b/>
          <w:color w:val="000000" w:themeColor="text1"/>
          <w:sz w:val="22"/>
          <w:szCs w:val="22"/>
        </w:rPr>
      </w:pPr>
      <w:r w:rsidRPr="00AA0ABD">
        <w:rPr>
          <w:rStyle w:val="Ttulo2Car"/>
          <w:rFonts w:ascii="Averta" w:eastAsiaTheme="majorEastAsia" w:hAnsi="Averta"/>
          <w:color w:val="000000" w:themeColor="text1"/>
          <w:sz w:val="22"/>
          <w:szCs w:val="22"/>
        </w:rPr>
        <w:t>Se e</w:t>
      </w:r>
      <w:r w:rsidRPr="00AA0ABD">
        <w:rPr>
          <w:rFonts w:ascii="Averta" w:hAnsi="Averta"/>
          <w:color w:val="000000" w:themeColor="text1"/>
          <w:sz w:val="22"/>
          <w:szCs w:val="22"/>
        </w:rPr>
        <w:t xml:space="preserve">stablecen los criterios generales que regirán la contabilidad gubernamental y la emisión de información financiera de los </w:t>
      </w:r>
      <w:r w:rsidR="00342E96" w:rsidRPr="00AA0ABD">
        <w:rPr>
          <w:rFonts w:ascii="Averta" w:hAnsi="Averta"/>
          <w:color w:val="000000" w:themeColor="text1"/>
          <w:sz w:val="22"/>
          <w:szCs w:val="22"/>
          <w:lang w:val="es-MX"/>
        </w:rPr>
        <w:t>Entes Públicos</w:t>
      </w:r>
      <w:r w:rsidRPr="00AA0ABD">
        <w:rPr>
          <w:rFonts w:ascii="Averta" w:hAnsi="Averta"/>
          <w:color w:val="000000" w:themeColor="text1"/>
          <w:sz w:val="22"/>
          <w:szCs w:val="22"/>
        </w:rPr>
        <w:t>, con el fin de lograr una adecuada armonización de la contabilidad gubernamental.</w:t>
      </w:r>
    </w:p>
    <w:p w14:paraId="110D49AD" w14:textId="77777777" w:rsidR="00F61D4B" w:rsidRPr="00AA0ABD" w:rsidRDefault="00F61D4B" w:rsidP="00F61D4B">
      <w:pPr>
        <w:pStyle w:val="Texto"/>
        <w:spacing w:line="240" w:lineRule="auto"/>
        <w:ind w:firstLine="0"/>
        <w:rPr>
          <w:rFonts w:ascii="Averta" w:hAnsi="Averta" w:cs="Tahoma"/>
          <w:color w:val="000000" w:themeColor="text1"/>
          <w:sz w:val="22"/>
          <w:szCs w:val="22"/>
        </w:rPr>
      </w:pPr>
    </w:p>
    <w:p w14:paraId="45D02E8A" w14:textId="7D1775BC" w:rsidR="00F61D4B" w:rsidRPr="00AA0ABD" w:rsidRDefault="00F61D4B" w:rsidP="00F61D4B">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En el Marco de la citada Ley, la SAFIN adopta modelos contables vigentes a nivel nacional, a través de la revisión, reestructuración, compatibilización y adecuación de los existentes, que permitan facilitar el registro y la fiscalización de los activos, pasivos, ingresos y gastos y, en general, contribuir a medir la eficacia, economía y eficiencia de la aplicación de recursos públicos, la administración de la deuda pública, incluyendo las obligaciones contingentes y el patrimonio del Estado, permitiendo la generación periódica de la información financiera señalada en el Artículo 46 de la LGCG.</w:t>
      </w:r>
    </w:p>
    <w:p w14:paraId="0D7A572A" w14:textId="77777777" w:rsidR="00F61D4B" w:rsidRPr="00AA0ABD" w:rsidRDefault="00F61D4B" w:rsidP="00F61D4B">
      <w:pPr>
        <w:pStyle w:val="Texto"/>
        <w:spacing w:line="240" w:lineRule="auto"/>
        <w:ind w:firstLine="0"/>
        <w:rPr>
          <w:rFonts w:ascii="Averta" w:hAnsi="Averta" w:cs="Tahoma"/>
          <w:color w:val="000000" w:themeColor="text1"/>
          <w:sz w:val="22"/>
          <w:szCs w:val="22"/>
        </w:rPr>
      </w:pPr>
    </w:p>
    <w:p w14:paraId="69255A09" w14:textId="77777777" w:rsidR="00C23634" w:rsidRPr="00AA0ABD" w:rsidRDefault="00F61D4B" w:rsidP="00C23634">
      <w:pPr>
        <w:pStyle w:val="Subttulo"/>
        <w:jc w:val="left"/>
        <w:rPr>
          <w:rFonts w:ascii="Averta" w:hAnsi="Averta"/>
          <w:color w:val="000000" w:themeColor="text1"/>
        </w:rPr>
      </w:pPr>
      <w:r w:rsidRPr="00AA0ABD">
        <w:rPr>
          <w:rStyle w:val="Ttulo1Car"/>
          <w:rFonts w:ascii="Averta" w:hAnsi="Averta" w:cs="Times New Roman"/>
          <w:b/>
          <w:bCs w:val="0"/>
          <w:color w:val="000000" w:themeColor="text1"/>
          <w:sz w:val="24"/>
          <w:szCs w:val="20"/>
          <w:lang w:eastAsia="es-ES"/>
        </w:rPr>
        <w:t>6.1.2.</w:t>
      </w:r>
      <w:r w:rsidRPr="00AA0ABD">
        <w:rPr>
          <w:rStyle w:val="Ttulo1Car"/>
          <w:rFonts w:ascii="Averta" w:hAnsi="Averta" w:cs="Times New Roman"/>
          <w:b/>
          <w:bCs w:val="0"/>
          <w:color w:val="000000" w:themeColor="text1"/>
          <w:sz w:val="24"/>
          <w:szCs w:val="20"/>
          <w:lang w:eastAsia="es-ES"/>
        </w:rPr>
        <w:tab/>
        <w:t>Acuerdo por el que se emite la Clasificación Administrativa (Publicación del 7 de julio de 2011).</w:t>
      </w:r>
      <w:r w:rsidRPr="00AA0ABD">
        <w:rPr>
          <w:rFonts w:ascii="Averta" w:hAnsi="Averta"/>
          <w:color w:val="000000" w:themeColor="text1"/>
        </w:rPr>
        <w:t xml:space="preserve"> </w:t>
      </w:r>
    </w:p>
    <w:p w14:paraId="296EA6D9" w14:textId="4428B7F0" w:rsidR="00F61D4B" w:rsidRPr="00AA0ABD" w:rsidRDefault="00F61D4B" w:rsidP="00B649AA">
      <w:pPr>
        <w:pStyle w:val="Texto"/>
        <w:spacing w:line="240" w:lineRule="auto"/>
        <w:ind w:firstLine="0"/>
        <w:rPr>
          <w:rFonts w:ascii="Averta" w:hAnsi="Averta"/>
          <w:color w:val="000000" w:themeColor="text1"/>
          <w:sz w:val="22"/>
          <w:szCs w:val="22"/>
        </w:rPr>
      </w:pPr>
      <w:r w:rsidRPr="00AA0ABD">
        <w:rPr>
          <w:rFonts w:ascii="Averta" w:hAnsi="Averta"/>
          <w:color w:val="000000" w:themeColor="text1"/>
          <w:sz w:val="22"/>
          <w:szCs w:val="22"/>
        </w:rPr>
        <w:t xml:space="preserve">En este documento se establecen las bases para que los gobiernos federal, estatal y municipal, cumplan con la obligación de formular los estados financieros y demás información presupuestaria, programática y contable que presentan los Poderes Ejecutivo, Legislativo y Judicial y, los Órganos </w:t>
      </w:r>
      <w:r w:rsidR="00C75D4B" w:rsidRPr="00AA0ABD">
        <w:rPr>
          <w:rFonts w:ascii="Averta" w:hAnsi="Averta"/>
          <w:color w:val="000000" w:themeColor="text1"/>
          <w:sz w:val="22"/>
          <w:szCs w:val="22"/>
        </w:rPr>
        <w:t xml:space="preserve">Públicos </w:t>
      </w:r>
      <w:r w:rsidRPr="00AA0ABD">
        <w:rPr>
          <w:rFonts w:ascii="Averta" w:hAnsi="Averta"/>
          <w:color w:val="000000" w:themeColor="text1"/>
          <w:sz w:val="22"/>
          <w:szCs w:val="22"/>
        </w:rPr>
        <w:t>Autónomos, así como la desagregación del Sector Paraestatal, conforme a lo siguiente</w:t>
      </w:r>
      <w:r w:rsidRPr="00AA0ABD">
        <w:rPr>
          <w:rFonts w:ascii="Averta" w:hAnsi="Averta" w:cs="Tahoma"/>
          <w:color w:val="000000" w:themeColor="text1"/>
          <w:sz w:val="22"/>
          <w:szCs w:val="22"/>
        </w:rPr>
        <w:t xml:space="preserve">: </w:t>
      </w:r>
    </w:p>
    <w:p w14:paraId="1CCF7ACC" w14:textId="77777777" w:rsidR="00D75CE2" w:rsidRPr="00AA0ABD" w:rsidRDefault="00D75CE2" w:rsidP="00F61D4B">
      <w:pPr>
        <w:pStyle w:val="Texto"/>
        <w:spacing w:line="240" w:lineRule="auto"/>
        <w:ind w:firstLine="0"/>
        <w:rPr>
          <w:rFonts w:ascii="Averta" w:hAnsi="Averta"/>
          <w:color w:val="000000" w:themeColor="text1"/>
          <w:sz w:val="22"/>
          <w:szCs w:val="22"/>
        </w:rPr>
      </w:pPr>
    </w:p>
    <w:p w14:paraId="46917059" w14:textId="77777777" w:rsidR="00F61D4B" w:rsidRPr="00AA0ABD" w:rsidRDefault="00F61D4B" w:rsidP="006A5474">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2.1.1.0.0 GOBIERNO GENERAL ESTATAL O DEL DISTRITO FEDERAL</w:t>
      </w:r>
    </w:p>
    <w:p w14:paraId="548FEFC1" w14:textId="77777777" w:rsidR="00F61D4B" w:rsidRPr="00AA0ABD" w:rsidRDefault="00F61D4B" w:rsidP="006A5474">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2.1.1.1.0 Gobierno Estatal o del Distrito Federal</w:t>
      </w:r>
    </w:p>
    <w:p w14:paraId="30EDAEC2" w14:textId="77777777" w:rsidR="00F61D4B" w:rsidRPr="00AA0ABD" w:rsidRDefault="00F61D4B" w:rsidP="006A5474">
      <w:pPr>
        <w:pStyle w:val="Texto"/>
        <w:spacing w:line="240" w:lineRule="auto"/>
        <w:ind w:left="284" w:hanging="142"/>
        <w:rPr>
          <w:rFonts w:ascii="Averta" w:hAnsi="Averta" w:cs="Tahoma"/>
          <w:color w:val="000000" w:themeColor="text1"/>
          <w:sz w:val="22"/>
          <w:szCs w:val="22"/>
        </w:rPr>
      </w:pPr>
      <w:r w:rsidRPr="00AA0ABD">
        <w:rPr>
          <w:rFonts w:ascii="Averta" w:hAnsi="Averta" w:cs="Tahoma"/>
          <w:color w:val="000000" w:themeColor="text1"/>
          <w:sz w:val="22"/>
          <w:szCs w:val="22"/>
        </w:rPr>
        <w:t>2.1.1.1.1 Poder Ejecutivo</w:t>
      </w:r>
    </w:p>
    <w:p w14:paraId="295614AE" w14:textId="77777777" w:rsidR="00F61D4B" w:rsidRPr="00AA0ABD" w:rsidRDefault="00F61D4B" w:rsidP="006A5474">
      <w:pPr>
        <w:pStyle w:val="Texto"/>
        <w:spacing w:line="240" w:lineRule="auto"/>
        <w:ind w:left="284" w:hanging="142"/>
        <w:rPr>
          <w:rFonts w:ascii="Averta" w:hAnsi="Averta" w:cs="Tahoma"/>
          <w:color w:val="000000" w:themeColor="text1"/>
          <w:sz w:val="22"/>
          <w:szCs w:val="22"/>
        </w:rPr>
      </w:pPr>
      <w:r w:rsidRPr="00AA0ABD">
        <w:rPr>
          <w:rFonts w:ascii="Averta" w:hAnsi="Averta" w:cs="Tahoma"/>
          <w:color w:val="000000" w:themeColor="text1"/>
          <w:sz w:val="22"/>
          <w:szCs w:val="22"/>
        </w:rPr>
        <w:t>2.1.1.1.2 Poder Legislativo</w:t>
      </w:r>
    </w:p>
    <w:p w14:paraId="666426A2" w14:textId="77777777" w:rsidR="00F61D4B" w:rsidRPr="00AA0ABD" w:rsidRDefault="00F61D4B" w:rsidP="006A5474">
      <w:pPr>
        <w:pStyle w:val="Texto"/>
        <w:spacing w:line="240" w:lineRule="auto"/>
        <w:ind w:left="284" w:hanging="142"/>
        <w:rPr>
          <w:rFonts w:ascii="Averta" w:hAnsi="Averta" w:cs="Tahoma"/>
          <w:color w:val="000000" w:themeColor="text1"/>
          <w:sz w:val="22"/>
          <w:szCs w:val="22"/>
        </w:rPr>
      </w:pPr>
      <w:r w:rsidRPr="00AA0ABD">
        <w:rPr>
          <w:rFonts w:ascii="Averta" w:hAnsi="Averta" w:cs="Tahoma"/>
          <w:color w:val="000000" w:themeColor="text1"/>
          <w:sz w:val="22"/>
          <w:szCs w:val="22"/>
        </w:rPr>
        <w:t>2.1.1.1.3 Poder Judicial</w:t>
      </w:r>
    </w:p>
    <w:p w14:paraId="2B2B035F" w14:textId="77777777" w:rsidR="00F61D4B" w:rsidRPr="00AA0ABD" w:rsidRDefault="00F61D4B" w:rsidP="006A5474">
      <w:pPr>
        <w:pStyle w:val="Texto"/>
        <w:spacing w:line="240" w:lineRule="auto"/>
        <w:ind w:left="284" w:hanging="142"/>
        <w:rPr>
          <w:rFonts w:ascii="Averta" w:hAnsi="Averta" w:cs="Tahoma"/>
          <w:color w:val="000000" w:themeColor="text1"/>
          <w:sz w:val="22"/>
          <w:szCs w:val="22"/>
        </w:rPr>
      </w:pPr>
      <w:r w:rsidRPr="00AA0ABD">
        <w:rPr>
          <w:rFonts w:ascii="Averta" w:hAnsi="Averta" w:cs="Tahoma"/>
          <w:color w:val="000000" w:themeColor="text1"/>
          <w:sz w:val="22"/>
          <w:szCs w:val="22"/>
        </w:rPr>
        <w:t>2.1.1.1.4 Órganos Autónomos</w:t>
      </w:r>
    </w:p>
    <w:p w14:paraId="2C2D2A48" w14:textId="77777777" w:rsidR="00F61D4B" w:rsidRPr="00AA0ABD" w:rsidRDefault="00F61D4B" w:rsidP="006A5474">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2.1.1.2.0 Entidades Paraestatales y Fideicomisos No Empresariales y No Financieros</w:t>
      </w:r>
    </w:p>
    <w:p w14:paraId="5BBBCCAB" w14:textId="77777777" w:rsidR="00F61D4B" w:rsidRPr="00AA0ABD" w:rsidRDefault="00F61D4B" w:rsidP="006A5474">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2.1.1.3.0 Instituciones Públicas de Seguridad Social</w:t>
      </w:r>
    </w:p>
    <w:p w14:paraId="4EA7A505" w14:textId="183EC397" w:rsidR="00F61D4B" w:rsidRPr="00AA0ABD" w:rsidRDefault="00F61D4B" w:rsidP="006A5474">
      <w:pPr>
        <w:pStyle w:val="Texto"/>
        <w:spacing w:line="240" w:lineRule="auto"/>
        <w:ind w:left="142" w:firstLine="0"/>
        <w:rPr>
          <w:rFonts w:ascii="Averta" w:hAnsi="Averta" w:cs="Tahoma"/>
          <w:color w:val="000000" w:themeColor="text1"/>
          <w:sz w:val="22"/>
          <w:szCs w:val="22"/>
        </w:rPr>
      </w:pPr>
      <w:r w:rsidRPr="00AA0ABD">
        <w:rPr>
          <w:rFonts w:ascii="Averta" w:hAnsi="Averta" w:cs="Tahoma"/>
          <w:color w:val="000000" w:themeColor="text1"/>
          <w:sz w:val="22"/>
          <w:szCs w:val="22"/>
        </w:rPr>
        <w:t xml:space="preserve">2.1.2.0.0 </w:t>
      </w:r>
      <w:r w:rsidR="003F068E" w:rsidRPr="00AA0ABD">
        <w:rPr>
          <w:rFonts w:ascii="Averta" w:hAnsi="Averta" w:cs="Tahoma"/>
          <w:color w:val="000000" w:themeColor="text1"/>
          <w:sz w:val="22"/>
          <w:szCs w:val="22"/>
        </w:rPr>
        <w:t xml:space="preserve">ENTIDADES PARAESTATALES EMPRESARIALES NO FINANCIERAS CON PARTICIPACION ESTATAL MAYORITARIA </w:t>
      </w:r>
    </w:p>
    <w:p w14:paraId="1072960C" w14:textId="77777777" w:rsidR="00F61D4B" w:rsidRPr="00AA0ABD" w:rsidRDefault="00F61D4B" w:rsidP="006A5474">
      <w:pPr>
        <w:pStyle w:val="Texto"/>
        <w:spacing w:line="240" w:lineRule="auto"/>
        <w:ind w:left="142" w:firstLine="0"/>
        <w:rPr>
          <w:rFonts w:ascii="Averta" w:hAnsi="Averta" w:cs="Tahoma"/>
          <w:color w:val="000000" w:themeColor="text1"/>
          <w:sz w:val="22"/>
          <w:szCs w:val="22"/>
        </w:rPr>
      </w:pPr>
      <w:r w:rsidRPr="00AA0ABD">
        <w:rPr>
          <w:rFonts w:ascii="Averta" w:hAnsi="Averta" w:cs="Tahoma"/>
          <w:color w:val="000000" w:themeColor="text1"/>
          <w:sz w:val="22"/>
          <w:szCs w:val="22"/>
        </w:rPr>
        <w:t>2.1.2.1.0 Entidades Paraestatales Empresariales No Financieras con Participación Estatal Mayoritaria</w:t>
      </w:r>
    </w:p>
    <w:p w14:paraId="16F30D0C" w14:textId="77777777" w:rsidR="00F61D4B" w:rsidRPr="00AA0ABD" w:rsidRDefault="00F61D4B" w:rsidP="006A5474">
      <w:pPr>
        <w:pStyle w:val="Texto"/>
        <w:spacing w:line="240" w:lineRule="auto"/>
        <w:ind w:left="142" w:firstLine="0"/>
        <w:rPr>
          <w:rFonts w:ascii="Averta" w:hAnsi="Averta" w:cs="Tahoma"/>
          <w:color w:val="000000" w:themeColor="text1"/>
          <w:sz w:val="22"/>
          <w:szCs w:val="22"/>
        </w:rPr>
      </w:pPr>
      <w:r w:rsidRPr="00AA0ABD">
        <w:rPr>
          <w:rFonts w:ascii="Averta" w:hAnsi="Averta" w:cs="Tahoma"/>
          <w:color w:val="000000" w:themeColor="text1"/>
          <w:sz w:val="22"/>
          <w:szCs w:val="22"/>
        </w:rPr>
        <w:t>2.1.2.2.0 Fideicomisos Empresariales No Financieros con Participación Estatal Mayoritaria</w:t>
      </w:r>
    </w:p>
    <w:p w14:paraId="0548522A" w14:textId="77777777" w:rsidR="00F61D4B" w:rsidRPr="00AA0ABD" w:rsidRDefault="00F61D4B" w:rsidP="00F61D4B">
      <w:pPr>
        <w:pStyle w:val="Texto"/>
        <w:spacing w:line="240" w:lineRule="auto"/>
        <w:ind w:firstLine="0"/>
        <w:rPr>
          <w:rFonts w:ascii="Averta" w:hAnsi="Averta" w:cs="Tahoma"/>
          <w:color w:val="000000" w:themeColor="text1"/>
          <w:sz w:val="22"/>
          <w:szCs w:val="22"/>
        </w:rPr>
      </w:pPr>
    </w:p>
    <w:p w14:paraId="58C55610" w14:textId="77777777" w:rsidR="00C23634" w:rsidRPr="00AA0ABD" w:rsidRDefault="00F61D4B" w:rsidP="00C23634">
      <w:pPr>
        <w:pStyle w:val="Subttulo"/>
        <w:jc w:val="left"/>
        <w:rPr>
          <w:rStyle w:val="Ttulo2Car"/>
          <w:rFonts w:ascii="Averta" w:eastAsiaTheme="majorEastAsia" w:hAnsi="Averta"/>
          <w:b w:val="0"/>
          <w:color w:val="000000" w:themeColor="text1"/>
          <w:sz w:val="22"/>
          <w:szCs w:val="22"/>
          <w:lang w:val="es-MX" w:eastAsia="es-MX"/>
        </w:rPr>
      </w:pPr>
      <w:r w:rsidRPr="00AA0ABD">
        <w:rPr>
          <w:rStyle w:val="Ttulo2Car"/>
          <w:rFonts w:ascii="Averta" w:eastAsiaTheme="majorEastAsia" w:hAnsi="Averta"/>
          <w:color w:val="000000" w:themeColor="text1"/>
          <w:sz w:val="22"/>
          <w:szCs w:val="22"/>
        </w:rPr>
        <w:t>6.1.3</w:t>
      </w:r>
      <w:r w:rsidR="00091E2B" w:rsidRPr="00AA0ABD">
        <w:rPr>
          <w:rStyle w:val="Ttulo2Car"/>
          <w:rFonts w:ascii="Averta" w:eastAsiaTheme="majorEastAsia" w:hAnsi="Averta"/>
          <w:color w:val="000000" w:themeColor="text1"/>
          <w:sz w:val="22"/>
          <w:szCs w:val="22"/>
        </w:rPr>
        <w:t>.</w:t>
      </w:r>
      <w:r w:rsidR="00091E2B" w:rsidRPr="00AA0ABD">
        <w:rPr>
          <w:rStyle w:val="Ttulo2Car"/>
          <w:rFonts w:ascii="Averta" w:eastAsiaTheme="majorEastAsia" w:hAnsi="Averta"/>
          <w:color w:val="000000" w:themeColor="text1"/>
          <w:sz w:val="22"/>
          <w:szCs w:val="22"/>
        </w:rPr>
        <w:tab/>
      </w:r>
      <w:r w:rsidRPr="00AA0ABD">
        <w:rPr>
          <w:rStyle w:val="Ttulo2Car"/>
          <w:rFonts w:ascii="Averta" w:eastAsiaTheme="majorEastAsia" w:hAnsi="Averta"/>
          <w:color w:val="000000" w:themeColor="text1"/>
          <w:sz w:val="22"/>
          <w:szCs w:val="22"/>
          <w:lang w:val="es-MX" w:eastAsia="es-MX"/>
        </w:rPr>
        <w:t>Acuerdo por el que se armoniza la estructura de las cuentas públicas (</w:t>
      </w:r>
      <w:r w:rsidR="008970B9" w:rsidRPr="00AA0ABD">
        <w:rPr>
          <w:rFonts w:ascii="Averta" w:eastAsiaTheme="majorEastAsia" w:hAnsi="Averta" w:cstheme="majorBidi"/>
          <w:bCs/>
          <w:color w:val="000000" w:themeColor="text1"/>
        </w:rPr>
        <w:t>Última</w:t>
      </w:r>
      <w:r w:rsidR="008970B9" w:rsidRPr="00AA0ABD">
        <w:rPr>
          <w:rStyle w:val="Ttulo2Car"/>
          <w:rFonts w:ascii="Averta" w:eastAsiaTheme="majorEastAsia" w:hAnsi="Averta"/>
          <w:color w:val="000000" w:themeColor="text1"/>
          <w:sz w:val="22"/>
          <w:szCs w:val="22"/>
          <w:lang w:val="es-MX" w:eastAsia="es-MX"/>
        </w:rPr>
        <w:t xml:space="preserve"> </w:t>
      </w:r>
      <w:r w:rsidRPr="00AA0ABD">
        <w:rPr>
          <w:rStyle w:val="Ttulo2Car"/>
          <w:rFonts w:ascii="Averta" w:eastAsiaTheme="majorEastAsia" w:hAnsi="Averta"/>
          <w:color w:val="000000" w:themeColor="text1"/>
          <w:sz w:val="22"/>
          <w:szCs w:val="22"/>
          <w:lang w:val="es-MX" w:eastAsia="es-MX"/>
        </w:rPr>
        <w:t xml:space="preserve">Reforma del 29 de febrero de 2016). </w:t>
      </w:r>
    </w:p>
    <w:p w14:paraId="4284CFB4" w14:textId="62AE6E2B" w:rsidR="00F61D4B" w:rsidRPr="00AA0ABD" w:rsidRDefault="00F61D4B" w:rsidP="00F61D4B">
      <w:pPr>
        <w:pStyle w:val="Texto"/>
        <w:spacing w:after="60" w:line="240" w:lineRule="auto"/>
        <w:ind w:firstLine="0"/>
        <w:rPr>
          <w:rFonts w:ascii="Averta" w:eastAsiaTheme="majorEastAsia" w:hAnsi="Averta" w:cs="Times New Roman"/>
          <w:b/>
          <w:color w:val="000000" w:themeColor="text1"/>
          <w:sz w:val="22"/>
          <w:szCs w:val="22"/>
        </w:rPr>
      </w:pPr>
      <w:r w:rsidRPr="00AA0ABD">
        <w:rPr>
          <w:rStyle w:val="Ttulo2Car"/>
          <w:rFonts w:ascii="Averta" w:eastAsiaTheme="majorEastAsia" w:hAnsi="Averta"/>
          <w:color w:val="000000" w:themeColor="text1"/>
          <w:sz w:val="22"/>
          <w:szCs w:val="22"/>
          <w:lang w:val="es-MX" w:eastAsia="es-MX"/>
        </w:rPr>
        <w:t xml:space="preserve">Este acuerdo tiene por objeto </w:t>
      </w:r>
      <w:r w:rsidRPr="00AA0ABD">
        <w:rPr>
          <w:rFonts w:ascii="Averta" w:hAnsi="Averta" w:cs="Tahoma"/>
          <w:color w:val="000000" w:themeColor="text1"/>
          <w:sz w:val="22"/>
          <w:szCs w:val="22"/>
        </w:rPr>
        <w:t>armonizar la estructura de la Cuenta Pública del Gobierno Federal, de las Entidades Federativas, de los Ayuntamientos de los Municipios y de los órganos político-administrativos de las demarcaciones territoriales por conducto del Gobierno del Distrito Federal, a que se refieren los artículos 53 y 55 de la Ley General de Contabilidad Gubernamental.</w:t>
      </w:r>
    </w:p>
    <w:p w14:paraId="7C20F9F0" w14:textId="77777777" w:rsidR="00F61D4B" w:rsidRPr="00AA0ABD" w:rsidRDefault="00F61D4B" w:rsidP="00F61D4B">
      <w:pPr>
        <w:pStyle w:val="ROMANOS"/>
        <w:tabs>
          <w:tab w:val="clear" w:pos="720"/>
          <w:tab w:val="left" w:pos="288"/>
        </w:tabs>
        <w:spacing w:after="60" w:line="208" w:lineRule="exact"/>
        <w:ind w:left="0" w:firstLine="0"/>
        <w:rPr>
          <w:rFonts w:ascii="Averta" w:eastAsia="Times New Roman" w:hAnsi="Averta" w:cs="Tahoma"/>
          <w:color w:val="000000" w:themeColor="text1"/>
          <w:sz w:val="22"/>
          <w:szCs w:val="22"/>
          <w:lang w:eastAsia="es-MX"/>
        </w:rPr>
      </w:pPr>
    </w:p>
    <w:p w14:paraId="18216C51" w14:textId="4714955A" w:rsidR="00F61D4B" w:rsidRPr="00AA0ABD" w:rsidRDefault="00F61D4B" w:rsidP="00F61D4B">
      <w:pPr>
        <w:pStyle w:val="ROMANOS"/>
        <w:tabs>
          <w:tab w:val="clear" w:pos="720"/>
          <w:tab w:val="left" w:pos="288"/>
        </w:tabs>
        <w:spacing w:after="60" w:line="208" w:lineRule="exact"/>
        <w:ind w:left="0" w:firstLine="0"/>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La estructura de la Cuenta Pública de la Entidad Federativa deberá contener como mínimo lo siguiente:</w:t>
      </w:r>
    </w:p>
    <w:p w14:paraId="7BB266BF" w14:textId="77777777" w:rsidR="00F61D4B" w:rsidRPr="00AA0ABD" w:rsidRDefault="00F61D4B" w:rsidP="00F61D4B">
      <w:pPr>
        <w:pStyle w:val="ROMANOS"/>
        <w:tabs>
          <w:tab w:val="clear" w:pos="720"/>
          <w:tab w:val="left" w:pos="288"/>
        </w:tabs>
        <w:spacing w:after="60" w:line="208" w:lineRule="exact"/>
        <w:ind w:left="0" w:firstLine="0"/>
        <w:rPr>
          <w:rFonts w:ascii="Averta" w:eastAsia="Times New Roman" w:hAnsi="Averta" w:cs="Tahoma"/>
          <w:color w:val="000000" w:themeColor="text1"/>
          <w:sz w:val="22"/>
          <w:szCs w:val="22"/>
          <w:lang w:eastAsia="es-MX"/>
        </w:rPr>
      </w:pPr>
    </w:p>
    <w:p w14:paraId="55452A47" w14:textId="5D4ECCB0" w:rsidR="00F61D4B" w:rsidRPr="00AA0ABD" w:rsidRDefault="00F61D4B" w:rsidP="00F61D4B">
      <w:pPr>
        <w:pStyle w:val="Texto"/>
        <w:spacing w:after="0"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TOMO I Resultados Generales y Estados Financieros Consolidados</w:t>
      </w:r>
      <w:r w:rsidR="008970B9" w:rsidRPr="00AA0ABD">
        <w:rPr>
          <w:rFonts w:ascii="Averta" w:hAnsi="Averta" w:cs="Tahoma"/>
          <w:color w:val="000000" w:themeColor="text1"/>
          <w:sz w:val="22"/>
          <w:szCs w:val="22"/>
        </w:rPr>
        <w:t xml:space="preserve"> del Gobierno del Estado.</w:t>
      </w:r>
    </w:p>
    <w:p w14:paraId="330F5A20" w14:textId="77777777" w:rsidR="006A5474" w:rsidRPr="00AA0ABD" w:rsidRDefault="006A5474" w:rsidP="00F61D4B">
      <w:pPr>
        <w:pStyle w:val="Texto"/>
        <w:spacing w:after="0" w:line="240" w:lineRule="auto"/>
        <w:ind w:firstLine="0"/>
        <w:rPr>
          <w:rFonts w:ascii="Averta" w:hAnsi="Averta" w:cs="Tahoma"/>
          <w:color w:val="000000" w:themeColor="text1"/>
          <w:sz w:val="22"/>
          <w:szCs w:val="22"/>
        </w:rPr>
      </w:pPr>
    </w:p>
    <w:p w14:paraId="44D3A3AB" w14:textId="057EA587" w:rsidR="00F61D4B" w:rsidRPr="00AA0ABD" w:rsidRDefault="00F61D4B" w:rsidP="00B233AF">
      <w:pPr>
        <w:pStyle w:val="Texto"/>
        <w:spacing w:after="0"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 xml:space="preserve">Este tomo contendrá un análisis cualitativo de los </w:t>
      </w:r>
      <w:r w:rsidR="008970B9" w:rsidRPr="00AA0ABD">
        <w:rPr>
          <w:rFonts w:ascii="Averta" w:hAnsi="Averta" w:cs="Tahoma"/>
          <w:color w:val="000000" w:themeColor="text1"/>
          <w:sz w:val="22"/>
          <w:szCs w:val="22"/>
        </w:rPr>
        <w:t>objetivos y prioridades definidos en las Leyes de Ingresos y de Presupuesto de Egresos, así como, en el</w:t>
      </w:r>
      <w:r w:rsidR="006A5474" w:rsidRPr="00AA0ABD">
        <w:rPr>
          <w:rFonts w:ascii="Averta" w:hAnsi="Averta" w:cs="Tahoma"/>
          <w:color w:val="000000" w:themeColor="text1"/>
          <w:sz w:val="22"/>
          <w:szCs w:val="22"/>
        </w:rPr>
        <w:t xml:space="preserve"> PED</w:t>
      </w:r>
      <w:r w:rsidR="008970B9" w:rsidRPr="00AA0ABD">
        <w:rPr>
          <w:rFonts w:ascii="Averta" w:hAnsi="Averta" w:cs="Tahoma"/>
          <w:color w:val="000000" w:themeColor="text1"/>
          <w:sz w:val="22"/>
          <w:szCs w:val="22"/>
        </w:rPr>
        <w:t xml:space="preserve"> y se integra por los siguientes apartados: Entorno Económico, Política de Ingresos, Política de Gasto, Deuda Pública, Indicadores de Gestión y de Postura Fiscal, Ingresos Presupuestarios, Gastos Presupuestarios y los Estados Financieros Consolidados del Poder Ejecutivo, Legislativo, Judicial y de los Órganos</w:t>
      </w:r>
      <w:r w:rsidR="0046150E" w:rsidRPr="00AA0ABD">
        <w:rPr>
          <w:rFonts w:ascii="Averta" w:hAnsi="Averta" w:cs="Tahoma"/>
          <w:color w:val="000000" w:themeColor="text1"/>
          <w:sz w:val="22"/>
          <w:szCs w:val="22"/>
        </w:rPr>
        <w:t xml:space="preserve"> Públicos</w:t>
      </w:r>
      <w:r w:rsidR="008970B9" w:rsidRPr="00AA0ABD">
        <w:rPr>
          <w:rFonts w:ascii="Averta" w:hAnsi="Averta" w:cs="Tahoma"/>
          <w:color w:val="000000" w:themeColor="text1"/>
          <w:sz w:val="22"/>
          <w:szCs w:val="22"/>
        </w:rPr>
        <w:t xml:space="preserve"> Autónomos.</w:t>
      </w:r>
    </w:p>
    <w:p w14:paraId="063AC100" w14:textId="77777777" w:rsidR="00F61D4B" w:rsidRPr="00AA0ABD" w:rsidRDefault="00F61D4B" w:rsidP="00F61D4B">
      <w:pPr>
        <w:tabs>
          <w:tab w:val="left" w:pos="709"/>
        </w:tabs>
        <w:ind w:left="142"/>
        <w:rPr>
          <w:rFonts w:ascii="Averta" w:hAnsi="Averta" w:cs="Tahoma"/>
          <w:color w:val="000000" w:themeColor="text1"/>
          <w:sz w:val="22"/>
          <w:szCs w:val="22"/>
          <w:lang w:val="es-MX" w:eastAsia="es-MX"/>
        </w:rPr>
      </w:pPr>
    </w:p>
    <w:p w14:paraId="170AC35E" w14:textId="77777777" w:rsidR="00F61D4B" w:rsidRPr="00AA0ABD" w:rsidRDefault="00F61D4B" w:rsidP="00F61D4B">
      <w:pPr>
        <w:tabs>
          <w:tab w:val="left" w:pos="709"/>
        </w:tabs>
        <w:spacing w:before="37"/>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TOMO II Del Poder Ejecutivo;</w:t>
      </w:r>
    </w:p>
    <w:p w14:paraId="12F5A0A1" w14:textId="77777777" w:rsidR="00F61D4B" w:rsidRPr="00AA0ABD" w:rsidRDefault="00F61D4B" w:rsidP="00F61D4B">
      <w:pPr>
        <w:tabs>
          <w:tab w:val="left" w:pos="709"/>
        </w:tabs>
        <w:spacing w:before="37"/>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TOMO III Del Poder Legislativo;</w:t>
      </w:r>
    </w:p>
    <w:p w14:paraId="741FEBCB" w14:textId="77777777" w:rsidR="00F61D4B" w:rsidRPr="00AA0ABD" w:rsidRDefault="00F61D4B" w:rsidP="00F61D4B">
      <w:pPr>
        <w:tabs>
          <w:tab w:val="left" w:pos="709"/>
        </w:tabs>
        <w:spacing w:before="37"/>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TOMO IV Del Poder Judicial;</w:t>
      </w:r>
    </w:p>
    <w:p w14:paraId="07A5CA81" w14:textId="5E869486" w:rsidR="00F61D4B" w:rsidRPr="00AA0ABD" w:rsidRDefault="00F61D4B" w:rsidP="00F61D4B">
      <w:pPr>
        <w:tabs>
          <w:tab w:val="left" w:pos="709"/>
        </w:tabs>
        <w:spacing w:before="37"/>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TOMO V De los Órganos Autónomos; y</w:t>
      </w:r>
    </w:p>
    <w:p w14:paraId="7E565ECC" w14:textId="3B82399E" w:rsidR="00F61D4B" w:rsidRPr="00AA0ABD" w:rsidRDefault="00F61D4B" w:rsidP="00F61D4B">
      <w:pPr>
        <w:tabs>
          <w:tab w:val="left" w:pos="709"/>
        </w:tabs>
        <w:spacing w:before="37"/>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TOMO VI Del Sector Paraestatal</w:t>
      </w:r>
      <w:r w:rsidR="006A5474" w:rsidRPr="00AA0ABD">
        <w:rPr>
          <w:rFonts w:ascii="Averta" w:hAnsi="Averta" w:cs="Tahoma"/>
          <w:color w:val="000000" w:themeColor="text1"/>
          <w:sz w:val="22"/>
          <w:szCs w:val="22"/>
          <w:lang w:val="es-MX" w:eastAsia="es-MX"/>
        </w:rPr>
        <w:t>.</w:t>
      </w:r>
    </w:p>
    <w:p w14:paraId="0DE93B6B" w14:textId="77777777" w:rsidR="006A5474" w:rsidRPr="00AA0ABD" w:rsidRDefault="006A5474" w:rsidP="00F61D4B">
      <w:pPr>
        <w:tabs>
          <w:tab w:val="left" w:pos="709"/>
        </w:tabs>
        <w:spacing w:before="37"/>
        <w:rPr>
          <w:rFonts w:ascii="Averta" w:hAnsi="Averta" w:cs="Tahoma"/>
          <w:color w:val="000000" w:themeColor="text1"/>
          <w:sz w:val="22"/>
          <w:szCs w:val="22"/>
          <w:lang w:val="es-MX" w:eastAsia="es-MX"/>
        </w:rPr>
      </w:pPr>
    </w:p>
    <w:p w14:paraId="527FB131" w14:textId="77777777" w:rsidR="00F61D4B" w:rsidRPr="00AA0ABD" w:rsidRDefault="00F61D4B" w:rsidP="00F61D4B">
      <w:pPr>
        <w:pStyle w:val="ROMANOS"/>
        <w:spacing w:after="60" w:line="240" w:lineRule="auto"/>
        <w:ind w:left="0" w:firstLine="0"/>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Los tomos del II al VI se estructurarán, atendiendo a lo dispuesto en el artículo 53 de la LGCG, de la siguiente manera:</w:t>
      </w:r>
    </w:p>
    <w:p w14:paraId="07BD9306" w14:textId="58EA54F8" w:rsidR="00F61D4B" w:rsidRPr="00AA0ABD" w:rsidRDefault="00F61D4B" w:rsidP="00091E2B">
      <w:pPr>
        <w:pStyle w:val="ROMANOS"/>
        <w:numPr>
          <w:ilvl w:val="0"/>
          <w:numId w:val="30"/>
        </w:numPr>
        <w:tabs>
          <w:tab w:val="clear" w:pos="720"/>
          <w:tab w:val="left" w:pos="1620"/>
        </w:tabs>
        <w:spacing w:after="0" w:line="240" w:lineRule="auto"/>
        <w:ind w:left="284" w:hanging="284"/>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Información contable</w:t>
      </w:r>
      <w:r w:rsidR="008970B9" w:rsidRPr="00AA0ABD">
        <w:rPr>
          <w:rFonts w:ascii="Averta" w:eastAsia="Times New Roman" w:hAnsi="Averta" w:cs="Tahoma"/>
          <w:color w:val="000000" w:themeColor="text1"/>
          <w:sz w:val="22"/>
          <w:szCs w:val="22"/>
          <w:lang w:eastAsia="es-MX"/>
        </w:rPr>
        <w:t>, conforme a lo señalado en la fracción I del artículo 46 de la LGCG</w:t>
      </w:r>
      <w:r w:rsidR="006A5474" w:rsidRPr="00AA0ABD">
        <w:rPr>
          <w:rFonts w:ascii="Averta" w:eastAsia="Times New Roman" w:hAnsi="Averta" w:cs="Tahoma"/>
          <w:color w:val="000000" w:themeColor="text1"/>
          <w:sz w:val="22"/>
          <w:szCs w:val="22"/>
          <w:lang w:eastAsia="es-MX"/>
        </w:rPr>
        <w:t>;</w:t>
      </w:r>
    </w:p>
    <w:p w14:paraId="0EBE0814" w14:textId="6831C670" w:rsidR="00F61D4B" w:rsidRPr="00AA0ABD" w:rsidRDefault="00F61D4B" w:rsidP="008970B9">
      <w:pPr>
        <w:pStyle w:val="ROMANOS"/>
        <w:numPr>
          <w:ilvl w:val="0"/>
          <w:numId w:val="30"/>
        </w:numPr>
        <w:tabs>
          <w:tab w:val="clear" w:pos="720"/>
          <w:tab w:val="left" w:pos="1620"/>
        </w:tabs>
        <w:spacing w:after="0" w:line="240" w:lineRule="auto"/>
        <w:ind w:left="284" w:hanging="284"/>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Información presupuestaria</w:t>
      </w:r>
      <w:r w:rsidR="008970B9" w:rsidRPr="00AA0ABD">
        <w:rPr>
          <w:rFonts w:ascii="Averta" w:eastAsia="Times New Roman" w:hAnsi="Averta" w:cs="Tahoma"/>
          <w:color w:val="000000" w:themeColor="text1"/>
          <w:sz w:val="22"/>
          <w:szCs w:val="22"/>
          <w:lang w:eastAsia="es-MX"/>
        </w:rPr>
        <w:t>, conforme a lo señalado en la fracción II del artículo 46 de la LGCG</w:t>
      </w:r>
      <w:r w:rsidR="006A5474" w:rsidRPr="00AA0ABD">
        <w:rPr>
          <w:rFonts w:ascii="Averta" w:eastAsia="Times New Roman" w:hAnsi="Averta" w:cs="Tahoma"/>
          <w:color w:val="000000" w:themeColor="text1"/>
          <w:sz w:val="22"/>
          <w:szCs w:val="22"/>
          <w:lang w:eastAsia="es-MX"/>
        </w:rPr>
        <w:t>;</w:t>
      </w:r>
    </w:p>
    <w:p w14:paraId="2B4891E7" w14:textId="37E7B3B6" w:rsidR="00F61D4B" w:rsidRPr="00AA0ABD" w:rsidRDefault="00F61D4B" w:rsidP="008970B9">
      <w:pPr>
        <w:pStyle w:val="ROMANOS"/>
        <w:numPr>
          <w:ilvl w:val="0"/>
          <w:numId w:val="30"/>
        </w:numPr>
        <w:tabs>
          <w:tab w:val="clear" w:pos="720"/>
          <w:tab w:val="left" w:pos="1620"/>
        </w:tabs>
        <w:spacing w:after="0" w:line="240" w:lineRule="auto"/>
        <w:ind w:left="284" w:hanging="284"/>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Información programática</w:t>
      </w:r>
      <w:r w:rsidR="008970B9" w:rsidRPr="00AA0ABD">
        <w:rPr>
          <w:rFonts w:ascii="Averta" w:eastAsia="Times New Roman" w:hAnsi="Averta" w:cs="Tahoma"/>
          <w:color w:val="000000" w:themeColor="text1"/>
          <w:sz w:val="22"/>
          <w:szCs w:val="22"/>
          <w:lang w:eastAsia="es-MX"/>
        </w:rPr>
        <w:t>, conforme a lo señalado en la fracción III del artículo 46 de la LGCG</w:t>
      </w:r>
      <w:r w:rsidR="006A5474" w:rsidRPr="00AA0ABD">
        <w:rPr>
          <w:rFonts w:ascii="Averta" w:eastAsia="Times New Roman" w:hAnsi="Averta" w:cs="Tahoma"/>
          <w:color w:val="000000" w:themeColor="text1"/>
          <w:sz w:val="22"/>
          <w:szCs w:val="22"/>
          <w:lang w:eastAsia="es-MX"/>
        </w:rPr>
        <w:t>; y</w:t>
      </w:r>
    </w:p>
    <w:p w14:paraId="1A120BF5" w14:textId="55788BF1" w:rsidR="00F61D4B" w:rsidRPr="00AA0ABD" w:rsidRDefault="00F61D4B" w:rsidP="00091E2B">
      <w:pPr>
        <w:pStyle w:val="ROMANOS"/>
        <w:numPr>
          <w:ilvl w:val="0"/>
          <w:numId w:val="30"/>
        </w:numPr>
        <w:tabs>
          <w:tab w:val="clear" w:pos="720"/>
          <w:tab w:val="left" w:pos="1620"/>
        </w:tabs>
        <w:spacing w:after="0" w:line="240" w:lineRule="auto"/>
        <w:ind w:left="284" w:hanging="284"/>
        <w:rPr>
          <w:rFonts w:ascii="Averta" w:eastAsia="Times New Roman" w:hAnsi="Averta" w:cs="Tahoma"/>
          <w:color w:val="000000" w:themeColor="text1"/>
          <w:sz w:val="22"/>
          <w:szCs w:val="22"/>
          <w:lang w:eastAsia="es-MX"/>
        </w:rPr>
      </w:pPr>
      <w:r w:rsidRPr="00AA0ABD">
        <w:rPr>
          <w:rFonts w:ascii="Averta" w:eastAsia="Times New Roman" w:hAnsi="Averta" w:cs="Tahoma"/>
          <w:color w:val="000000" w:themeColor="text1"/>
          <w:sz w:val="22"/>
          <w:szCs w:val="22"/>
          <w:lang w:eastAsia="es-MX"/>
        </w:rPr>
        <w:t xml:space="preserve">Anexos, que incluirán todos los establecidos en diferentes ordenamientos que señalan la obligación de incorporar reportes específicos en la integración de la Cuenta Pública, así como los que el </w:t>
      </w:r>
      <w:r w:rsidR="00342E96" w:rsidRPr="00AA0ABD">
        <w:rPr>
          <w:rFonts w:ascii="Averta" w:eastAsia="Times New Roman" w:hAnsi="Averta" w:cs="Tahoma"/>
          <w:color w:val="000000" w:themeColor="text1"/>
          <w:sz w:val="22"/>
          <w:szCs w:val="22"/>
          <w:lang w:eastAsia="es-MX"/>
        </w:rPr>
        <w:t>E</w:t>
      </w:r>
      <w:r w:rsidRPr="00AA0ABD">
        <w:rPr>
          <w:rFonts w:ascii="Averta" w:eastAsia="Times New Roman" w:hAnsi="Averta" w:cs="Tahoma"/>
          <w:color w:val="000000" w:themeColor="text1"/>
          <w:sz w:val="22"/>
          <w:szCs w:val="22"/>
          <w:lang w:eastAsia="es-MX"/>
        </w:rPr>
        <w:t xml:space="preserve">nte </w:t>
      </w:r>
      <w:r w:rsidR="00342E96" w:rsidRPr="00AA0ABD">
        <w:rPr>
          <w:rFonts w:ascii="Averta" w:eastAsia="Times New Roman" w:hAnsi="Averta" w:cs="Tahoma"/>
          <w:color w:val="000000" w:themeColor="text1"/>
          <w:sz w:val="22"/>
          <w:szCs w:val="22"/>
          <w:lang w:eastAsia="es-MX"/>
        </w:rPr>
        <w:t>P</w:t>
      </w:r>
      <w:r w:rsidRPr="00AA0ABD">
        <w:rPr>
          <w:rFonts w:ascii="Averta" w:eastAsia="Times New Roman" w:hAnsi="Averta" w:cs="Tahoma"/>
          <w:color w:val="000000" w:themeColor="text1"/>
          <w:sz w:val="22"/>
          <w:szCs w:val="22"/>
          <w:lang w:eastAsia="es-MX"/>
        </w:rPr>
        <w:t>úblico considere convenientes.</w:t>
      </w:r>
    </w:p>
    <w:p w14:paraId="54E9B962" w14:textId="77777777" w:rsidR="00F61D4B" w:rsidRPr="00AA0ABD" w:rsidRDefault="00F61D4B" w:rsidP="00F61D4B">
      <w:pPr>
        <w:pStyle w:val="Texto"/>
        <w:spacing w:line="240" w:lineRule="auto"/>
        <w:ind w:left="1276" w:hanging="850"/>
        <w:rPr>
          <w:rFonts w:ascii="Averta" w:hAnsi="Averta" w:cs="Tahoma"/>
          <w:color w:val="000000" w:themeColor="text1"/>
          <w:sz w:val="22"/>
          <w:szCs w:val="22"/>
          <w:lang w:val="es-ES"/>
        </w:rPr>
      </w:pPr>
    </w:p>
    <w:p w14:paraId="07F618B2" w14:textId="720370EA" w:rsidR="00C23634" w:rsidRPr="004B4CCE" w:rsidRDefault="00F668DE" w:rsidP="00F668DE">
      <w:pPr>
        <w:pStyle w:val="Subttulo"/>
        <w:jc w:val="both"/>
        <w:rPr>
          <w:rFonts w:ascii="Averta" w:hAnsi="Averta"/>
          <w:color w:val="000000" w:themeColor="text1"/>
        </w:rPr>
      </w:pPr>
      <w:r w:rsidRPr="004B4CCE">
        <w:rPr>
          <w:rStyle w:val="Ttulo2Car"/>
          <w:rFonts w:ascii="Averta" w:eastAsiaTheme="majorEastAsia" w:hAnsi="Averta"/>
          <w:color w:val="000000" w:themeColor="text1"/>
          <w:sz w:val="22"/>
          <w:szCs w:val="22"/>
        </w:rPr>
        <w:t>6.1.4.</w:t>
      </w:r>
      <w:r w:rsidRPr="004B4CCE">
        <w:rPr>
          <w:rStyle w:val="Ttulo2Car"/>
          <w:rFonts w:ascii="Averta" w:eastAsiaTheme="majorEastAsia" w:hAnsi="Averta"/>
          <w:color w:val="000000" w:themeColor="text1"/>
          <w:sz w:val="22"/>
          <w:szCs w:val="22"/>
        </w:rPr>
        <w:tab/>
      </w:r>
      <w:r w:rsidR="00F61D4B" w:rsidRPr="004B4CCE">
        <w:rPr>
          <w:rStyle w:val="Ttulo2Car"/>
          <w:rFonts w:ascii="Averta" w:eastAsiaTheme="majorEastAsia" w:hAnsi="Averta"/>
          <w:color w:val="000000" w:themeColor="text1"/>
          <w:sz w:val="22"/>
          <w:szCs w:val="22"/>
        </w:rPr>
        <w:t>Norma en materia de consolidación de Estados Financieros y demás información contable (</w:t>
      </w:r>
      <w:r w:rsidR="008970B9" w:rsidRPr="004B4CCE">
        <w:rPr>
          <w:rFonts w:ascii="Averta" w:eastAsiaTheme="majorEastAsia" w:hAnsi="Averta" w:cstheme="majorBidi"/>
          <w:bCs/>
          <w:color w:val="000000" w:themeColor="text1"/>
          <w:lang w:val="es-MX" w:eastAsia="es-MX"/>
        </w:rPr>
        <w:t>Última</w:t>
      </w:r>
      <w:r w:rsidR="008970B9" w:rsidRPr="004B4CCE">
        <w:rPr>
          <w:rStyle w:val="Ttulo2Car"/>
          <w:rFonts w:ascii="Averta" w:eastAsiaTheme="majorEastAsia" w:hAnsi="Averta"/>
          <w:color w:val="000000" w:themeColor="text1"/>
          <w:sz w:val="22"/>
          <w:szCs w:val="22"/>
        </w:rPr>
        <w:t xml:space="preserve"> </w:t>
      </w:r>
      <w:r w:rsidR="00F61D4B" w:rsidRPr="004B4CCE">
        <w:rPr>
          <w:rStyle w:val="Ttulo2Car"/>
          <w:rFonts w:ascii="Averta" w:eastAsiaTheme="majorEastAsia" w:hAnsi="Averta"/>
          <w:color w:val="000000" w:themeColor="text1"/>
          <w:sz w:val="22"/>
          <w:szCs w:val="22"/>
        </w:rPr>
        <w:t xml:space="preserve">Reforma del 27 de septiembre de 2018). </w:t>
      </w:r>
    </w:p>
    <w:p w14:paraId="2579D047" w14:textId="4144D041" w:rsidR="00F61D4B" w:rsidRPr="00AA0ABD" w:rsidRDefault="00F61D4B" w:rsidP="00C23634">
      <w:pPr>
        <w:pStyle w:val="Default"/>
        <w:ind w:right="49"/>
        <w:jc w:val="both"/>
        <w:rPr>
          <w:rFonts w:ascii="Averta" w:hAnsi="Averta" w:cs="Tahoma"/>
          <w:b/>
          <w:bCs/>
          <w:color w:val="000000" w:themeColor="text1"/>
          <w:sz w:val="22"/>
          <w:szCs w:val="22"/>
          <w:lang w:val="es-MX"/>
        </w:rPr>
      </w:pPr>
      <w:r w:rsidRPr="00AA0ABD">
        <w:rPr>
          <w:rFonts w:ascii="Averta" w:hAnsi="Averta"/>
          <w:color w:val="000000" w:themeColor="text1"/>
          <w:sz w:val="22"/>
          <w:szCs w:val="22"/>
        </w:rPr>
        <w:t xml:space="preserve">Para efectos de la formulación de los estados financieros que se consolidan, los </w:t>
      </w:r>
      <w:r w:rsidR="00342E96" w:rsidRPr="00AA0ABD">
        <w:rPr>
          <w:rFonts w:ascii="Averta" w:hAnsi="Averta" w:cs="Tahoma"/>
          <w:color w:val="000000" w:themeColor="text1"/>
          <w:sz w:val="22"/>
          <w:szCs w:val="22"/>
          <w:lang w:val="es-MX" w:eastAsia="es-MX"/>
        </w:rPr>
        <w:t>Entes Públicos</w:t>
      </w:r>
      <w:r w:rsidRPr="00AA0ABD">
        <w:rPr>
          <w:rFonts w:ascii="Averta" w:hAnsi="Averta"/>
          <w:color w:val="000000" w:themeColor="text1"/>
          <w:sz w:val="22"/>
          <w:szCs w:val="22"/>
        </w:rPr>
        <w:t xml:space="preserve"> se deben agrupar de acuerdo a lo dispuesto en la clasificación administrativa y con ello reflejar información global del sector al que pertenecen.</w:t>
      </w:r>
    </w:p>
    <w:p w14:paraId="2C962B03" w14:textId="77777777" w:rsidR="00A301DC" w:rsidRPr="00AA0ABD" w:rsidRDefault="00A301DC" w:rsidP="00A301DC">
      <w:pPr>
        <w:pStyle w:val="Default"/>
        <w:ind w:right="190"/>
        <w:jc w:val="both"/>
        <w:rPr>
          <w:rFonts w:ascii="Averta" w:hAnsi="Averta" w:cs="Tahoma"/>
          <w:b/>
          <w:bCs/>
          <w:color w:val="000000" w:themeColor="text1"/>
          <w:sz w:val="22"/>
          <w:szCs w:val="22"/>
          <w:lang w:val="es-MX"/>
        </w:rPr>
      </w:pPr>
    </w:p>
    <w:p w14:paraId="4D37E7F1" w14:textId="77777777" w:rsidR="00F61D4B" w:rsidRPr="00AA0ABD" w:rsidRDefault="00F61D4B" w:rsidP="00F61D4B">
      <w:pPr>
        <w:pStyle w:val="Default"/>
        <w:ind w:right="190"/>
        <w:jc w:val="both"/>
        <w:rPr>
          <w:rFonts w:ascii="Averta" w:hAnsi="Averta"/>
          <w:color w:val="000000" w:themeColor="text1"/>
          <w:sz w:val="22"/>
          <w:szCs w:val="22"/>
        </w:rPr>
      </w:pPr>
      <w:r w:rsidRPr="00AA0ABD">
        <w:rPr>
          <w:rFonts w:ascii="Averta" w:hAnsi="Averta"/>
          <w:color w:val="000000" w:themeColor="text1"/>
          <w:sz w:val="22"/>
          <w:szCs w:val="22"/>
        </w:rPr>
        <w:t>Estados financieros a consolidar:</w:t>
      </w:r>
    </w:p>
    <w:p w14:paraId="74C9F292" w14:textId="2360AEF6" w:rsidR="00F61D4B" w:rsidRPr="00AA0ABD" w:rsidRDefault="00091E2B" w:rsidP="00091E2B">
      <w:pPr>
        <w:pStyle w:val="Default"/>
        <w:tabs>
          <w:tab w:val="left" w:pos="426"/>
        </w:tabs>
        <w:ind w:right="190"/>
        <w:jc w:val="both"/>
        <w:rPr>
          <w:rFonts w:ascii="Averta" w:hAnsi="Averta"/>
          <w:color w:val="000000" w:themeColor="text1"/>
          <w:sz w:val="22"/>
          <w:szCs w:val="22"/>
        </w:rPr>
      </w:pPr>
      <w:r w:rsidRPr="00AA0ABD">
        <w:rPr>
          <w:rFonts w:ascii="Averta" w:hAnsi="Averta"/>
          <w:color w:val="000000" w:themeColor="text1"/>
          <w:sz w:val="22"/>
          <w:szCs w:val="22"/>
        </w:rPr>
        <w:t>1.</w:t>
      </w:r>
      <w:r w:rsidRPr="00AA0ABD">
        <w:rPr>
          <w:rFonts w:ascii="Averta" w:hAnsi="Averta"/>
          <w:color w:val="000000" w:themeColor="text1"/>
          <w:sz w:val="22"/>
          <w:szCs w:val="22"/>
        </w:rPr>
        <w:tab/>
      </w:r>
      <w:r w:rsidR="00F61D4B" w:rsidRPr="00AA0ABD">
        <w:rPr>
          <w:rFonts w:ascii="Averta" w:hAnsi="Averta"/>
          <w:color w:val="000000" w:themeColor="text1"/>
          <w:sz w:val="22"/>
          <w:szCs w:val="22"/>
        </w:rPr>
        <w:t>Estado de situación financiera;</w:t>
      </w:r>
    </w:p>
    <w:p w14:paraId="026BCC12" w14:textId="748FC61A" w:rsidR="00F61D4B" w:rsidRPr="00AA0ABD" w:rsidRDefault="00091E2B" w:rsidP="00091E2B">
      <w:pPr>
        <w:pStyle w:val="Default"/>
        <w:tabs>
          <w:tab w:val="left" w:pos="426"/>
        </w:tabs>
        <w:ind w:right="190"/>
        <w:jc w:val="both"/>
        <w:rPr>
          <w:rFonts w:ascii="Averta" w:hAnsi="Averta"/>
          <w:color w:val="000000" w:themeColor="text1"/>
          <w:sz w:val="22"/>
          <w:szCs w:val="22"/>
        </w:rPr>
      </w:pPr>
      <w:r w:rsidRPr="00AA0ABD">
        <w:rPr>
          <w:rFonts w:ascii="Averta" w:hAnsi="Averta"/>
          <w:color w:val="000000" w:themeColor="text1"/>
          <w:sz w:val="22"/>
          <w:szCs w:val="22"/>
        </w:rPr>
        <w:t>2.</w:t>
      </w:r>
      <w:r w:rsidRPr="00AA0ABD">
        <w:rPr>
          <w:rFonts w:ascii="Averta" w:hAnsi="Averta"/>
          <w:color w:val="000000" w:themeColor="text1"/>
          <w:sz w:val="22"/>
          <w:szCs w:val="22"/>
        </w:rPr>
        <w:tab/>
      </w:r>
      <w:r w:rsidR="00F61D4B" w:rsidRPr="00AA0ABD">
        <w:rPr>
          <w:rFonts w:ascii="Averta" w:hAnsi="Averta"/>
          <w:color w:val="000000" w:themeColor="text1"/>
          <w:sz w:val="22"/>
          <w:szCs w:val="22"/>
        </w:rPr>
        <w:t>Estado de actividades;</w:t>
      </w:r>
    </w:p>
    <w:p w14:paraId="7C8079EB" w14:textId="28286EB3" w:rsidR="00F61D4B" w:rsidRPr="00AA0ABD" w:rsidRDefault="00091E2B" w:rsidP="00091E2B">
      <w:pPr>
        <w:pStyle w:val="Default"/>
        <w:tabs>
          <w:tab w:val="left" w:pos="426"/>
        </w:tabs>
        <w:ind w:right="190"/>
        <w:jc w:val="both"/>
        <w:rPr>
          <w:rFonts w:ascii="Averta" w:hAnsi="Averta"/>
          <w:color w:val="000000" w:themeColor="text1"/>
          <w:sz w:val="22"/>
          <w:szCs w:val="22"/>
        </w:rPr>
      </w:pPr>
      <w:r w:rsidRPr="00AA0ABD">
        <w:rPr>
          <w:rFonts w:ascii="Averta" w:hAnsi="Averta"/>
          <w:color w:val="000000" w:themeColor="text1"/>
          <w:sz w:val="22"/>
          <w:szCs w:val="22"/>
        </w:rPr>
        <w:t>3.</w:t>
      </w:r>
      <w:r w:rsidRPr="00AA0ABD">
        <w:rPr>
          <w:rFonts w:ascii="Averta" w:hAnsi="Averta"/>
          <w:color w:val="000000" w:themeColor="text1"/>
          <w:sz w:val="22"/>
          <w:szCs w:val="22"/>
        </w:rPr>
        <w:tab/>
      </w:r>
      <w:r w:rsidR="00F61D4B" w:rsidRPr="00AA0ABD">
        <w:rPr>
          <w:rFonts w:ascii="Averta" w:hAnsi="Averta"/>
          <w:color w:val="000000" w:themeColor="text1"/>
          <w:sz w:val="22"/>
          <w:szCs w:val="22"/>
        </w:rPr>
        <w:t>Estado de variación de la hacienda pública;</w:t>
      </w:r>
    </w:p>
    <w:p w14:paraId="67D23318" w14:textId="04524EFF" w:rsidR="00F61D4B" w:rsidRPr="00AA0ABD" w:rsidRDefault="00091E2B" w:rsidP="00091E2B">
      <w:pPr>
        <w:pStyle w:val="Default"/>
        <w:tabs>
          <w:tab w:val="left" w:pos="426"/>
        </w:tabs>
        <w:ind w:right="190"/>
        <w:jc w:val="both"/>
        <w:rPr>
          <w:rFonts w:ascii="Averta" w:hAnsi="Averta"/>
          <w:color w:val="000000" w:themeColor="text1"/>
          <w:sz w:val="22"/>
          <w:szCs w:val="22"/>
        </w:rPr>
      </w:pPr>
      <w:r w:rsidRPr="00AA0ABD">
        <w:rPr>
          <w:rFonts w:ascii="Averta" w:hAnsi="Averta"/>
          <w:color w:val="000000" w:themeColor="text1"/>
          <w:sz w:val="22"/>
          <w:szCs w:val="22"/>
        </w:rPr>
        <w:t>4.</w:t>
      </w:r>
      <w:r w:rsidRPr="00AA0ABD">
        <w:rPr>
          <w:rFonts w:ascii="Averta" w:hAnsi="Averta"/>
          <w:color w:val="000000" w:themeColor="text1"/>
          <w:sz w:val="22"/>
          <w:szCs w:val="22"/>
        </w:rPr>
        <w:tab/>
      </w:r>
      <w:r w:rsidR="00F61D4B" w:rsidRPr="00AA0ABD">
        <w:rPr>
          <w:rFonts w:ascii="Averta" w:hAnsi="Averta"/>
          <w:color w:val="000000" w:themeColor="text1"/>
          <w:sz w:val="22"/>
          <w:szCs w:val="22"/>
        </w:rPr>
        <w:t>Estado de cam</w:t>
      </w:r>
      <w:r w:rsidRPr="00AA0ABD">
        <w:rPr>
          <w:rFonts w:ascii="Averta" w:hAnsi="Averta"/>
          <w:color w:val="000000" w:themeColor="text1"/>
          <w:sz w:val="22"/>
          <w:szCs w:val="22"/>
        </w:rPr>
        <w:t>bios en la situación financiera;</w:t>
      </w:r>
      <w:r w:rsidR="00F61D4B" w:rsidRPr="00AA0ABD">
        <w:rPr>
          <w:rFonts w:ascii="Averta" w:hAnsi="Averta"/>
          <w:color w:val="000000" w:themeColor="text1"/>
          <w:sz w:val="22"/>
          <w:szCs w:val="22"/>
        </w:rPr>
        <w:t xml:space="preserve"> y</w:t>
      </w:r>
    </w:p>
    <w:p w14:paraId="05FF00E8" w14:textId="28D0F32A" w:rsidR="00F61D4B" w:rsidRPr="00AA0ABD" w:rsidRDefault="00091E2B" w:rsidP="00091E2B">
      <w:pPr>
        <w:pStyle w:val="Default"/>
        <w:tabs>
          <w:tab w:val="left" w:pos="426"/>
        </w:tabs>
        <w:ind w:right="190"/>
        <w:jc w:val="both"/>
        <w:rPr>
          <w:rFonts w:ascii="Averta" w:hAnsi="Averta"/>
          <w:color w:val="000000" w:themeColor="text1"/>
          <w:sz w:val="22"/>
          <w:szCs w:val="22"/>
        </w:rPr>
      </w:pPr>
      <w:r w:rsidRPr="00AA0ABD">
        <w:rPr>
          <w:rFonts w:ascii="Averta" w:hAnsi="Averta"/>
          <w:color w:val="000000" w:themeColor="text1"/>
          <w:sz w:val="22"/>
          <w:szCs w:val="22"/>
        </w:rPr>
        <w:t>5.</w:t>
      </w:r>
      <w:r w:rsidRPr="00AA0ABD">
        <w:rPr>
          <w:rFonts w:ascii="Averta" w:hAnsi="Averta"/>
          <w:color w:val="000000" w:themeColor="text1"/>
          <w:sz w:val="22"/>
          <w:szCs w:val="22"/>
        </w:rPr>
        <w:tab/>
      </w:r>
      <w:r w:rsidR="00F61D4B" w:rsidRPr="00AA0ABD">
        <w:rPr>
          <w:rFonts w:ascii="Averta" w:hAnsi="Averta"/>
          <w:color w:val="000000" w:themeColor="text1"/>
          <w:sz w:val="22"/>
          <w:szCs w:val="22"/>
        </w:rPr>
        <w:t xml:space="preserve">Estado de flujos de efectivo. </w:t>
      </w:r>
    </w:p>
    <w:p w14:paraId="730D547E" w14:textId="77777777" w:rsidR="006A5474" w:rsidRPr="00AA0ABD" w:rsidRDefault="006A5474" w:rsidP="00091E2B">
      <w:pPr>
        <w:pStyle w:val="Default"/>
        <w:tabs>
          <w:tab w:val="left" w:pos="426"/>
        </w:tabs>
        <w:ind w:right="190"/>
        <w:jc w:val="both"/>
        <w:rPr>
          <w:rFonts w:ascii="Averta" w:hAnsi="Averta"/>
          <w:color w:val="000000" w:themeColor="text1"/>
          <w:sz w:val="22"/>
          <w:szCs w:val="22"/>
        </w:rPr>
      </w:pPr>
    </w:p>
    <w:p w14:paraId="381DB3B8" w14:textId="01347F50" w:rsidR="008970B9" w:rsidRPr="00AA0ABD" w:rsidRDefault="008970B9" w:rsidP="008970B9">
      <w:pPr>
        <w:pStyle w:val="Texto"/>
        <w:spacing w:line="240" w:lineRule="auto"/>
        <w:ind w:firstLine="0"/>
        <w:rPr>
          <w:rFonts w:ascii="Averta" w:hAnsi="Averta" w:cs="Tahoma"/>
          <w:color w:val="000000" w:themeColor="text1"/>
          <w:sz w:val="22"/>
          <w:szCs w:val="22"/>
        </w:rPr>
      </w:pPr>
      <w:r w:rsidRPr="00AA0ABD">
        <w:rPr>
          <w:rFonts w:ascii="Averta" w:hAnsi="Averta" w:cs="Tahoma"/>
          <w:color w:val="000000" w:themeColor="text1"/>
          <w:sz w:val="22"/>
          <w:szCs w:val="22"/>
        </w:rPr>
        <w:t>Adicionalmente a la Información Contable a consolidar, deberán presentarse las notas a los Estados Financieros Consolidados.</w:t>
      </w:r>
    </w:p>
    <w:p w14:paraId="7CEA9A6F" w14:textId="77777777" w:rsidR="00F61D4B" w:rsidRPr="00AA0ABD" w:rsidRDefault="00F61D4B" w:rsidP="00F61D4B">
      <w:pPr>
        <w:pStyle w:val="Texto"/>
        <w:spacing w:line="240" w:lineRule="auto"/>
        <w:ind w:firstLine="0"/>
        <w:rPr>
          <w:rFonts w:ascii="Averta" w:hAnsi="Averta" w:cs="Tahoma"/>
          <w:i/>
          <w:color w:val="000000" w:themeColor="text1"/>
          <w:sz w:val="22"/>
          <w:szCs w:val="22"/>
        </w:rPr>
      </w:pPr>
    </w:p>
    <w:p w14:paraId="5191ACDB" w14:textId="77777777" w:rsidR="00F668DE" w:rsidRPr="00AA0ABD" w:rsidRDefault="00F61D4B" w:rsidP="00F668DE">
      <w:pPr>
        <w:pStyle w:val="Subttulo"/>
        <w:jc w:val="both"/>
        <w:rPr>
          <w:rFonts w:ascii="Averta" w:hAnsi="Averta"/>
          <w:color w:val="000000" w:themeColor="text1"/>
        </w:rPr>
      </w:pPr>
      <w:r w:rsidRPr="00AA0ABD">
        <w:rPr>
          <w:rFonts w:ascii="Averta" w:hAnsi="Averta"/>
          <w:color w:val="000000" w:themeColor="text1"/>
        </w:rPr>
        <w:t>6.1.5.</w:t>
      </w:r>
      <w:r w:rsidRPr="00AA0ABD">
        <w:rPr>
          <w:rFonts w:ascii="Averta" w:hAnsi="Averta"/>
          <w:color w:val="000000" w:themeColor="text1"/>
        </w:rPr>
        <w:tab/>
      </w:r>
      <w:r w:rsidR="008970B9" w:rsidRPr="00AA0ABD">
        <w:rPr>
          <w:rFonts w:ascii="Averta" w:hAnsi="Averta"/>
          <w:color w:val="000000" w:themeColor="text1"/>
        </w:rPr>
        <w:t>Los CRITERIOS para la elaboración y presentación homogénea de la información financiera y de los formatos a que hace referencia la Ley de Disciplina Financiera de las Entidades Federativas y los Municipios (</w:t>
      </w:r>
      <w:r w:rsidR="008970B9" w:rsidRPr="00AA0ABD">
        <w:rPr>
          <w:rFonts w:ascii="Averta" w:eastAsiaTheme="majorEastAsia" w:hAnsi="Averta" w:cstheme="majorBidi"/>
          <w:color w:val="000000" w:themeColor="text1"/>
        </w:rPr>
        <w:t>Última</w:t>
      </w:r>
      <w:r w:rsidR="008970B9" w:rsidRPr="00AA0ABD">
        <w:rPr>
          <w:rFonts w:ascii="Averta" w:hAnsi="Averta"/>
          <w:color w:val="000000" w:themeColor="text1"/>
        </w:rPr>
        <w:t xml:space="preserve"> Reforma del 28 de julio de 2021).</w:t>
      </w:r>
    </w:p>
    <w:p w14:paraId="4F338743" w14:textId="2D5283A9" w:rsidR="00F61D4B" w:rsidRPr="00AA0ABD" w:rsidRDefault="00F61D4B" w:rsidP="000866AE">
      <w:pPr>
        <w:pStyle w:val="Texto"/>
        <w:spacing w:line="240" w:lineRule="auto"/>
        <w:ind w:firstLine="0"/>
        <w:rPr>
          <w:rFonts w:ascii="Averta" w:hAnsi="Averta" w:cs="Tahoma"/>
          <w:bCs/>
          <w:color w:val="000000" w:themeColor="text1"/>
          <w:sz w:val="22"/>
          <w:szCs w:val="22"/>
          <w:lang w:eastAsia="es-ES"/>
        </w:rPr>
      </w:pPr>
      <w:r w:rsidRPr="00AA0ABD">
        <w:rPr>
          <w:rFonts w:ascii="Averta" w:hAnsi="Averta" w:cs="Tahoma"/>
          <w:bCs/>
          <w:color w:val="000000" w:themeColor="text1"/>
          <w:sz w:val="22"/>
          <w:szCs w:val="22"/>
          <w:lang w:eastAsia="es-ES"/>
        </w:rPr>
        <w:t xml:space="preserve"> </w:t>
      </w:r>
      <w:r w:rsidR="008970B9" w:rsidRPr="00AA0ABD">
        <w:rPr>
          <w:rFonts w:ascii="Averta" w:hAnsi="Averta" w:cs="Tahoma"/>
          <w:bCs/>
          <w:color w:val="000000" w:themeColor="text1"/>
          <w:sz w:val="22"/>
          <w:szCs w:val="22"/>
          <w:lang w:eastAsia="es-ES"/>
        </w:rPr>
        <w:t>N</w:t>
      </w:r>
      <w:r w:rsidR="00B133C2" w:rsidRPr="00AA0ABD">
        <w:rPr>
          <w:rFonts w:ascii="Averta" w:hAnsi="Averta" w:cs="Tahoma"/>
          <w:bCs/>
          <w:color w:val="000000" w:themeColor="text1"/>
          <w:sz w:val="22"/>
          <w:szCs w:val="22"/>
          <w:lang w:eastAsia="es-ES"/>
        </w:rPr>
        <w:t>umeral</w:t>
      </w:r>
      <w:r w:rsidR="00237E22" w:rsidRPr="00AA0ABD">
        <w:rPr>
          <w:rFonts w:ascii="Averta" w:hAnsi="Averta" w:cs="Tahoma"/>
          <w:bCs/>
          <w:color w:val="000000" w:themeColor="text1"/>
          <w:sz w:val="22"/>
          <w:szCs w:val="22"/>
          <w:lang w:eastAsia="es-ES"/>
        </w:rPr>
        <w:t xml:space="preserve"> 2: </w:t>
      </w:r>
      <w:r w:rsidRPr="00AA0ABD">
        <w:rPr>
          <w:rFonts w:ascii="Averta" w:hAnsi="Averta" w:cs="Tahoma"/>
          <w:bCs/>
          <w:color w:val="000000" w:themeColor="text1"/>
          <w:sz w:val="22"/>
          <w:szCs w:val="22"/>
          <w:lang w:eastAsia="es-ES"/>
        </w:rPr>
        <w:t xml:space="preserve">“Las presentes disposiciones son de observancia obligatoria para los </w:t>
      </w:r>
      <w:r w:rsidR="003B5A08" w:rsidRPr="00AA0ABD">
        <w:rPr>
          <w:rFonts w:ascii="Averta" w:hAnsi="Averta" w:cs="Tahoma"/>
          <w:color w:val="000000" w:themeColor="text1"/>
          <w:sz w:val="22"/>
          <w:szCs w:val="22"/>
        </w:rPr>
        <w:t>e</w:t>
      </w:r>
      <w:r w:rsidR="00342E96" w:rsidRPr="00AA0ABD">
        <w:rPr>
          <w:rFonts w:ascii="Averta" w:hAnsi="Averta" w:cs="Tahoma"/>
          <w:color w:val="000000" w:themeColor="text1"/>
          <w:sz w:val="22"/>
          <w:szCs w:val="22"/>
        </w:rPr>
        <w:t xml:space="preserve">ntes </w:t>
      </w:r>
      <w:r w:rsidR="003B5A08" w:rsidRPr="00AA0ABD">
        <w:rPr>
          <w:rFonts w:ascii="Averta" w:hAnsi="Averta" w:cs="Tahoma"/>
          <w:color w:val="000000" w:themeColor="text1"/>
          <w:sz w:val="22"/>
          <w:szCs w:val="22"/>
        </w:rPr>
        <w:t>p</w:t>
      </w:r>
      <w:r w:rsidR="00342E96" w:rsidRPr="00AA0ABD">
        <w:rPr>
          <w:rFonts w:ascii="Averta" w:hAnsi="Averta" w:cs="Tahoma"/>
          <w:color w:val="000000" w:themeColor="text1"/>
          <w:sz w:val="22"/>
          <w:szCs w:val="22"/>
        </w:rPr>
        <w:t>úblicos</w:t>
      </w:r>
      <w:r w:rsidR="00342E96" w:rsidRPr="00AA0ABD">
        <w:rPr>
          <w:rFonts w:ascii="Averta" w:hAnsi="Averta" w:cs="Tahoma"/>
          <w:bCs/>
          <w:color w:val="000000" w:themeColor="text1"/>
          <w:sz w:val="22"/>
          <w:szCs w:val="22"/>
          <w:lang w:eastAsia="es-ES"/>
        </w:rPr>
        <w:t xml:space="preserve"> </w:t>
      </w:r>
      <w:r w:rsidRPr="00AA0ABD">
        <w:rPr>
          <w:rFonts w:ascii="Averta" w:hAnsi="Averta" w:cs="Tahoma"/>
          <w:bCs/>
          <w:color w:val="000000" w:themeColor="text1"/>
          <w:sz w:val="22"/>
          <w:szCs w:val="22"/>
          <w:lang w:eastAsia="es-ES"/>
        </w:rPr>
        <w:t xml:space="preserve">de las Entidades Federativas y los Municipios, incluyendo los poderes </w:t>
      </w:r>
      <w:r w:rsidR="008970B9" w:rsidRPr="00AA0ABD">
        <w:rPr>
          <w:rFonts w:ascii="Averta" w:hAnsi="Averta" w:cs="Tahoma"/>
          <w:bCs/>
          <w:color w:val="000000" w:themeColor="text1"/>
          <w:sz w:val="22"/>
          <w:szCs w:val="22"/>
          <w:lang w:eastAsia="es-ES"/>
        </w:rPr>
        <w:t>E</w:t>
      </w:r>
      <w:r w:rsidRPr="00AA0ABD">
        <w:rPr>
          <w:rFonts w:ascii="Averta" w:hAnsi="Averta" w:cs="Tahoma"/>
          <w:bCs/>
          <w:color w:val="000000" w:themeColor="text1"/>
          <w:sz w:val="22"/>
          <w:szCs w:val="22"/>
          <w:lang w:eastAsia="es-ES"/>
        </w:rPr>
        <w:t xml:space="preserve">jecutivo, </w:t>
      </w:r>
      <w:r w:rsidR="008970B9" w:rsidRPr="00AA0ABD">
        <w:rPr>
          <w:rFonts w:ascii="Averta" w:hAnsi="Averta" w:cs="Tahoma"/>
          <w:bCs/>
          <w:color w:val="000000" w:themeColor="text1"/>
          <w:sz w:val="22"/>
          <w:szCs w:val="22"/>
          <w:lang w:eastAsia="es-ES"/>
        </w:rPr>
        <w:t>L</w:t>
      </w:r>
      <w:r w:rsidRPr="00AA0ABD">
        <w:rPr>
          <w:rFonts w:ascii="Averta" w:hAnsi="Averta" w:cs="Tahoma"/>
          <w:bCs/>
          <w:color w:val="000000" w:themeColor="text1"/>
          <w:sz w:val="22"/>
          <w:szCs w:val="22"/>
          <w:lang w:eastAsia="es-ES"/>
        </w:rPr>
        <w:t xml:space="preserve">egislativo y </w:t>
      </w:r>
      <w:r w:rsidR="008970B9" w:rsidRPr="00AA0ABD">
        <w:rPr>
          <w:rFonts w:ascii="Averta" w:hAnsi="Averta" w:cs="Tahoma"/>
          <w:bCs/>
          <w:color w:val="000000" w:themeColor="text1"/>
          <w:sz w:val="22"/>
          <w:szCs w:val="22"/>
          <w:lang w:eastAsia="es-ES"/>
        </w:rPr>
        <w:t>J</w:t>
      </w:r>
      <w:r w:rsidRPr="00AA0ABD">
        <w:rPr>
          <w:rFonts w:ascii="Averta" w:hAnsi="Averta" w:cs="Tahoma"/>
          <w:bCs/>
          <w:color w:val="000000" w:themeColor="text1"/>
          <w:sz w:val="22"/>
          <w:szCs w:val="22"/>
          <w:lang w:eastAsia="es-ES"/>
        </w:rPr>
        <w:t xml:space="preserve">udicial, los organismos </w:t>
      </w:r>
      <w:r w:rsidR="0046150E" w:rsidRPr="00AA0ABD">
        <w:rPr>
          <w:rFonts w:ascii="Averta" w:hAnsi="Averta" w:cs="Tahoma"/>
          <w:bCs/>
          <w:color w:val="000000" w:themeColor="text1"/>
          <w:sz w:val="22"/>
          <w:szCs w:val="22"/>
          <w:lang w:eastAsia="es-ES"/>
        </w:rPr>
        <w:t xml:space="preserve">públicos </w:t>
      </w:r>
      <w:r w:rsidRPr="00AA0ABD">
        <w:rPr>
          <w:rFonts w:ascii="Averta" w:hAnsi="Averta" w:cs="Tahoma"/>
          <w:bCs/>
          <w:color w:val="000000" w:themeColor="text1"/>
          <w:sz w:val="22"/>
          <w:szCs w:val="22"/>
          <w:lang w:eastAsia="es-ES"/>
        </w:rPr>
        <w:t>autónomos de las Entidades Federativas; los Municipios; los organismos descentralizados, empresas de participación estatal mayoritaria y fideicomisos de las Entidades Federativas y los Municipios, así como cualquier otro ente sobre el que las Entidades Federativas y los Municipios tengan control sobre sus decisiones o acciones.</w:t>
      </w:r>
      <w:r w:rsidR="008970B9" w:rsidRPr="00AA0ABD">
        <w:rPr>
          <w:rFonts w:ascii="Averta" w:hAnsi="Averta" w:cs="Tahoma"/>
          <w:bCs/>
          <w:color w:val="000000" w:themeColor="text1"/>
          <w:sz w:val="22"/>
          <w:szCs w:val="22"/>
          <w:lang w:eastAsia="es-ES"/>
        </w:rPr>
        <w:t xml:space="preserve"> La información financiera de los presentes Criterios s</w:t>
      </w:r>
      <w:r w:rsidRPr="00AA0ABD">
        <w:rPr>
          <w:rFonts w:ascii="Averta" w:hAnsi="Averta" w:cs="Tahoma"/>
          <w:bCs/>
          <w:color w:val="000000" w:themeColor="text1"/>
          <w:sz w:val="22"/>
          <w:szCs w:val="22"/>
          <w:lang w:eastAsia="es-ES"/>
        </w:rPr>
        <w:t>e considera adicional de la información financiera periódica y cuenta pública</w:t>
      </w:r>
      <w:r w:rsidR="008970B9" w:rsidRPr="00AA0ABD">
        <w:rPr>
          <w:rFonts w:ascii="Averta" w:hAnsi="Averta" w:cs="Tahoma"/>
          <w:bCs/>
          <w:color w:val="000000" w:themeColor="text1"/>
          <w:sz w:val="22"/>
          <w:szCs w:val="22"/>
          <w:lang w:eastAsia="es-ES"/>
        </w:rPr>
        <w:t xml:space="preserve"> anual</w:t>
      </w:r>
      <w:r w:rsidRPr="00AA0ABD">
        <w:rPr>
          <w:rFonts w:ascii="Averta" w:hAnsi="Averta" w:cs="Tahoma"/>
          <w:bCs/>
          <w:color w:val="000000" w:themeColor="text1"/>
          <w:sz w:val="22"/>
          <w:szCs w:val="22"/>
          <w:lang w:eastAsia="es-ES"/>
        </w:rPr>
        <w:t xml:space="preserve"> que se entrega a la entidad de fiscalización o congreso local”</w:t>
      </w:r>
      <w:r w:rsidR="006A5474" w:rsidRPr="00AA0ABD">
        <w:rPr>
          <w:rFonts w:ascii="Averta" w:hAnsi="Averta" w:cs="Tahoma"/>
          <w:bCs/>
          <w:color w:val="000000" w:themeColor="text1"/>
          <w:sz w:val="22"/>
          <w:szCs w:val="22"/>
          <w:lang w:eastAsia="es-ES"/>
        </w:rPr>
        <w:t>.</w:t>
      </w:r>
    </w:p>
    <w:p w14:paraId="4A7F0649" w14:textId="77777777" w:rsidR="00F61D4B" w:rsidRPr="00AA0ABD" w:rsidRDefault="00F61D4B" w:rsidP="000866AE">
      <w:pPr>
        <w:pStyle w:val="Default"/>
        <w:jc w:val="both"/>
        <w:rPr>
          <w:rFonts w:ascii="Averta" w:hAnsi="Averta" w:cs="Tahoma"/>
          <w:color w:val="000000" w:themeColor="text1"/>
          <w:sz w:val="22"/>
          <w:szCs w:val="22"/>
          <w:lang w:val="es-MX"/>
        </w:rPr>
      </w:pPr>
    </w:p>
    <w:p w14:paraId="5E2F13AB" w14:textId="77777777" w:rsidR="00F668DE" w:rsidRPr="00AA0ABD" w:rsidRDefault="00F61D4B" w:rsidP="00F668DE">
      <w:pPr>
        <w:pStyle w:val="Subttulo"/>
        <w:jc w:val="both"/>
        <w:rPr>
          <w:rStyle w:val="SubttuloCar"/>
          <w:rFonts w:ascii="Averta" w:hAnsi="Averta"/>
          <w:b/>
          <w:color w:val="000000" w:themeColor="text1"/>
        </w:rPr>
      </w:pPr>
      <w:r w:rsidRPr="00AA0ABD">
        <w:rPr>
          <w:rStyle w:val="SubttuloCar"/>
          <w:rFonts w:ascii="Averta" w:eastAsiaTheme="majorEastAsia" w:hAnsi="Averta"/>
          <w:b/>
          <w:color w:val="000000" w:themeColor="text1"/>
        </w:rPr>
        <w:lastRenderedPageBreak/>
        <w:t>6.1.6.</w:t>
      </w:r>
      <w:r w:rsidRPr="00AA0ABD">
        <w:rPr>
          <w:rStyle w:val="SubttuloCar"/>
          <w:rFonts w:ascii="Averta" w:eastAsiaTheme="majorEastAsia" w:hAnsi="Averta"/>
          <w:b/>
          <w:color w:val="000000" w:themeColor="text1"/>
        </w:rPr>
        <w:tab/>
      </w:r>
      <w:r w:rsidR="008970B9" w:rsidRPr="00AA0ABD">
        <w:rPr>
          <w:rStyle w:val="SubttuloCar"/>
          <w:rFonts w:ascii="Averta" w:eastAsiaTheme="majorEastAsia" w:hAnsi="Averta"/>
          <w:b/>
          <w:color w:val="000000" w:themeColor="text1"/>
        </w:rPr>
        <w:t>Constitución Política del Estado de Campeche (</w:t>
      </w:r>
      <w:bookmarkStart w:id="1" w:name="_Hlk182222500"/>
      <w:r w:rsidR="008970B9" w:rsidRPr="00AA0ABD">
        <w:rPr>
          <w:rStyle w:val="SubttuloCar"/>
          <w:rFonts w:ascii="Averta" w:eastAsiaTheme="majorEastAsia" w:hAnsi="Averta"/>
          <w:b/>
          <w:color w:val="000000" w:themeColor="text1"/>
        </w:rPr>
        <w:t xml:space="preserve">Última </w:t>
      </w:r>
      <w:r w:rsidR="00431C68" w:rsidRPr="00AA0ABD">
        <w:rPr>
          <w:rStyle w:val="SubttuloCar"/>
          <w:rFonts w:ascii="Averta" w:eastAsiaTheme="majorEastAsia" w:hAnsi="Averta"/>
          <w:b/>
          <w:color w:val="000000" w:themeColor="text1"/>
        </w:rPr>
        <w:t xml:space="preserve">Reforma del </w:t>
      </w:r>
      <w:r w:rsidR="008970B9" w:rsidRPr="00AA0ABD">
        <w:rPr>
          <w:rStyle w:val="SubttuloCar"/>
          <w:rFonts w:ascii="Averta" w:eastAsiaTheme="majorEastAsia" w:hAnsi="Averta"/>
          <w:b/>
          <w:color w:val="000000" w:themeColor="text1"/>
        </w:rPr>
        <w:t>9 de julio de 2024</w:t>
      </w:r>
      <w:bookmarkEnd w:id="1"/>
      <w:r w:rsidR="008970B9" w:rsidRPr="00AA0ABD">
        <w:rPr>
          <w:rStyle w:val="SubttuloCar"/>
          <w:rFonts w:ascii="Averta" w:eastAsiaTheme="majorEastAsia" w:hAnsi="Averta"/>
          <w:b/>
          <w:color w:val="000000" w:themeColor="text1"/>
        </w:rPr>
        <w:t xml:space="preserve">). </w:t>
      </w:r>
      <w:r w:rsidR="008970B9" w:rsidRPr="00AA0ABD">
        <w:rPr>
          <w:rStyle w:val="SubttuloCar"/>
          <w:rFonts w:ascii="Averta" w:hAnsi="Averta"/>
          <w:b/>
          <w:color w:val="000000" w:themeColor="text1"/>
        </w:rPr>
        <w:t>Artículo 54- Sección XXII Párrafo 5.</w:t>
      </w:r>
    </w:p>
    <w:p w14:paraId="0620FAE9" w14:textId="4F126B3A" w:rsidR="00F61D4B" w:rsidRPr="00AA0ABD" w:rsidRDefault="008970B9" w:rsidP="000866AE">
      <w:pPr>
        <w:pStyle w:val="Default"/>
        <w:jc w:val="both"/>
        <w:rPr>
          <w:rFonts w:ascii="Averta" w:hAnsi="Averta" w:cs="Tahoma"/>
          <w:color w:val="000000" w:themeColor="text1"/>
          <w:sz w:val="22"/>
          <w:szCs w:val="22"/>
          <w:lang w:val="es-MX"/>
        </w:rPr>
      </w:pPr>
      <w:r w:rsidRPr="00AA0ABD">
        <w:rPr>
          <w:rFonts w:ascii="Averta" w:hAnsi="Averta" w:cs="Tahoma"/>
          <w:b/>
          <w:color w:val="000000" w:themeColor="text1"/>
          <w:sz w:val="22"/>
          <w:szCs w:val="22"/>
          <w:lang w:val="es-MX"/>
        </w:rPr>
        <w:t xml:space="preserve"> </w:t>
      </w:r>
      <w:r w:rsidR="00F668DE" w:rsidRPr="00AA0ABD">
        <w:rPr>
          <w:rFonts w:ascii="Averta" w:hAnsi="Averta" w:cs="Tahoma"/>
          <w:b/>
          <w:color w:val="000000" w:themeColor="text1"/>
          <w:sz w:val="22"/>
          <w:szCs w:val="22"/>
          <w:lang w:val="es-MX"/>
        </w:rPr>
        <w:t>“</w:t>
      </w:r>
      <w:r w:rsidRPr="00AA0ABD">
        <w:rPr>
          <w:rFonts w:ascii="Averta" w:eastAsiaTheme="majorEastAsia" w:hAnsi="Averta" w:cstheme="majorBidi"/>
          <w:bCs/>
          <w:color w:val="000000" w:themeColor="text1"/>
          <w:sz w:val="22"/>
          <w:szCs w:val="22"/>
          <w:lang w:val="es-MX" w:eastAsia="es-MX"/>
        </w:rPr>
        <w:t>La</w:t>
      </w:r>
      <w:r w:rsidRPr="00AA0ABD">
        <w:rPr>
          <w:rFonts w:ascii="Averta" w:hAnsi="Averta" w:cs="Tahoma"/>
          <w:color w:val="000000" w:themeColor="text1"/>
          <w:sz w:val="22"/>
          <w:szCs w:val="22"/>
          <w:lang w:val="es-MX"/>
        </w:rPr>
        <w:t xml:space="preserve"> Cuenta Pública del Estado deberá ser presentada al Congreso del Estado a más tardar el 30 de abril del año siguiente al ejercicio fiscal que corresponda”</w:t>
      </w:r>
      <w:r w:rsidR="006B0655" w:rsidRPr="00AA0ABD">
        <w:rPr>
          <w:rFonts w:ascii="Averta" w:hAnsi="Averta" w:cs="Tahoma"/>
          <w:color w:val="000000" w:themeColor="text1"/>
          <w:sz w:val="22"/>
          <w:szCs w:val="22"/>
          <w:lang w:val="es-MX"/>
        </w:rPr>
        <w:t>.</w:t>
      </w:r>
    </w:p>
    <w:p w14:paraId="25662908" w14:textId="77777777" w:rsidR="008F5C38" w:rsidRPr="00AA0ABD" w:rsidRDefault="008F5C38" w:rsidP="000866AE">
      <w:pPr>
        <w:pStyle w:val="Texto"/>
        <w:spacing w:line="240" w:lineRule="auto"/>
        <w:ind w:firstLine="0"/>
        <w:rPr>
          <w:rFonts w:ascii="Averta" w:hAnsi="Averta" w:cs="Tahoma"/>
          <w:color w:val="000000" w:themeColor="text1"/>
          <w:sz w:val="22"/>
          <w:szCs w:val="22"/>
        </w:rPr>
      </w:pPr>
    </w:p>
    <w:p w14:paraId="6405CF63" w14:textId="444F43C7" w:rsidR="008F5C38" w:rsidRPr="00AA0ABD" w:rsidRDefault="00F61D4B" w:rsidP="00F668DE">
      <w:pPr>
        <w:pStyle w:val="Subttulo"/>
        <w:jc w:val="left"/>
        <w:rPr>
          <w:rStyle w:val="Ttulo1Car"/>
          <w:rFonts w:ascii="Averta" w:hAnsi="Averta"/>
          <w:b/>
          <w:color w:val="000000" w:themeColor="text1"/>
          <w:sz w:val="22"/>
          <w:szCs w:val="22"/>
          <w:lang w:val="es-MX"/>
        </w:rPr>
      </w:pPr>
      <w:r w:rsidRPr="00AA0ABD">
        <w:rPr>
          <w:rStyle w:val="Ttulo1Car"/>
          <w:rFonts w:ascii="Averta" w:hAnsi="Averta"/>
          <w:b/>
          <w:color w:val="000000" w:themeColor="text1"/>
          <w:sz w:val="22"/>
          <w:szCs w:val="22"/>
          <w:lang w:val="es-MX"/>
        </w:rPr>
        <w:t>6.1.7</w:t>
      </w:r>
      <w:r w:rsidRPr="00AA0ABD">
        <w:rPr>
          <w:rStyle w:val="Ttulo1Car"/>
          <w:rFonts w:ascii="Averta" w:hAnsi="Averta"/>
          <w:b/>
          <w:color w:val="000000" w:themeColor="text1"/>
          <w:sz w:val="22"/>
          <w:szCs w:val="22"/>
          <w:lang w:val="es-MX"/>
        </w:rPr>
        <w:tab/>
      </w:r>
      <w:bookmarkStart w:id="2" w:name="_Hlk182222543"/>
      <w:r w:rsidRPr="00AA0ABD">
        <w:rPr>
          <w:rStyle w:val="Ttulo1Car"/>
          <w:rFonts w:ascii="Averta" w:hAnsi="Averta"/>
          <w:b/>
          <w:color w:val="000000" w:themeColor="text1"/>
          <w:sz w:val="22"/>
          <w:szCs w:val="22"/>
          <w:lang w:val="es-MX"/>
        </w:rPr>
        <w:t xml:space="preserve">Ley de Disciplina Financiera </w:t>
      </w:r>
      <w:r w:rsidR="008970B9" w:rsidRPr="00AA0ABD">
        <w:rPr>
          <w:rStyle w:val="Ttulo1Car"/>
          <w:rFonts w:ascii="Averta" w:hAnsi="Averta"/>
          <w:b/>
          <w:color w:val="000000" w:themeColor="text1"/>
          <w:sz w:val="22"/>
          <w:szCs w:val="22"/>
          <w:lang w:val="es-MX"/>
        </w:rPr>
        <w:t>(</w:t>
      </w:r>
      <w:r w:rsidR="008970B9" w:rsidRPr="00AA0ABD">
        <w:rPr>
          <w:rFonts w:ascii="Averta" w:eastAsiaTheme="majorEastAsia" w:hAnsi="Averta"/>
          <w:b w:val="0"/>
          <w:color w:val="000000" w:themeColor="text1"/>
          <w:lang w:val="es-MX" w:eastAsia="es-MX"/>
        </w:rPr>
        <w:t>Última Reforma del 20 de diciembre de 2023</w:t>
      </w:r>
      <w:r w:rsidR="008970B9" w:rsidRPr="00AA0ABD">
        <w:rPr>
          <w:rStyle w:val="Ttulo1Car"/>
          <w:rFonts w:ascii="Averta" w:hAnsi="Averta"/>
          <w:b/>
          <w:color w:val="000000" w:themeColor="text1"/>
          <w:sz w:val="22"/>
          <w:szCs w:val="22"/>
          <w:lang w:val="es-MX"/>
        </w:rPr>
        <w:t>).</w:t>
      </w:r>
      <w:bookmarkEnd w:id="2"/>
    </w:p>
    <w:p w14:paraId="6DB7662A" w14:textId="7EE7DFF3" w:rsidR="008970B9" w:rsidRPr="00AA0ABD" w:rsidRDefault="008970B9" w:rsidP="000866AE">
      <w:pPr>
        <w:pStyle w:val="Default"/>
        <w:tabs>
          <w:tab w:val="left" w:pos="567"/>
        </w:tabs>
        <w:jc w:val="both"/>
        <w:rPr>
          <w:rFonts w:ascii="Averta" w:hAnsi="Averta"/>
          <w:b/>
          <w:color w:val="000000" w:themeColor="text1"/>
          <w:sz w:val="22"/>
          <w:szCs w:val="22"/>
          <w:lang w:val="es-MX"/>
        </w:rPr>
      </w:pPr>
      <w:r w:rsidRPr="00AA0ABD">
        <w:rPr>
          <w:rStyle w:val="Ttulo1Car"/>
          <w:rFonts w:ascii="Averta" w:hAnsi="Averta"/>
          <w:b w:val="0"/>
          <w:color w:val="000000" w:themeColor="text1"/>
          <w:sz w:val="22"/>
          <w:szCs w:val="22"/>
          <w:lang w:val="es-MX"/>
        </w:rPr>
        <w:t>Artículo 85:</w:t>
      </w:r>
      <w:r w:rsidRPr="00AA0ABD">
        <w:rPr>
          <w:rStyle w:val="Ttulo1Car"/>
          <w:rFonts w:ascii="Averta" w:hAnsi="Averta"/>
          <w:color w:val="000000" w:themeColor="text1"/>
          <w:sz w:val="22"/>
          <w:szCs w:val="22"/>
          <w:lang w:val="es-MX"/>
        </w:rPr>
        <w:t xml:space="preserve"> “</w:t>
      </w:r>
      <w:r w:rsidRPr="00AA0ABD">
        <w:rPr>
          <w:rFonts w:ascii="Averta" w:eastAsiaTheme="minorHAnsi" w:hAnsi="Averta"/>
          <w:color w:val="000000" w:themeColor="text1"/>
          <w:sz w:val="22"/>
          <w:szCs w:val="22"/>
          <w:lang w:val="es-MX" w:eastAsia="en-US"/>
        </w:rPr>
        <w:t>A efecto de integrar oportunamente el informe de la cuenta pública, las Secretarías, Dependencias y las Entidades tendrán la obligación de suministrar a la Secretaría la información que ésta les requiera respecto de sus contabilidades</w:t>
      </w:r>
      <w:r w:rsidR="006B0655" w:rsidRPr="00AA0ABD">
        <w:rPr>
          <w:rFonts w:ascii="Averta" w:eastAsiaTheme="minorHAnsi" w:hAnsi="Averta"/>
          <w:color w:val="000000" w:themeColor="text1"/>
          <w:sz w:val="22"/>
          <w:szCs w:val="22"/>
          <w:lang w:val="es-MX" w:eastAsia="en-US"/>
        </w:rPr>
        <w:t>”</w:t>
      </w:r>
      <w:r w:rsidRPr="00AA0ABD">
        <w:rPr>
          <w:rFonts w:ascii="Averta" w:eastAsiaTheme="minorHAnsi" w:hAnsi="Averta"/>
          <w:color w:val="000000" w:themeColor="text1"/>
          <w:sz w:val="22"/>
          <w:szCs w:val="22"/>
          <w:lang w:val="es-MX" w:eastAsia="en-US"/>
        </w:rPr>
        <w:t>.</w:t>
      </w:r>
    </w:p>
    <w:p w14:paraId="2008B05B" w14:textId="77777777" w:rsidR="00F61D4B" w:rsidRPr="00AA0ABD" w:rsidRDefault="00F61D4B" w:rsidP="000866AE">
      <w:pPr>
        <w:autoSpaceDE w:val="0"/>
        <w:autoSpaceDN w:val="0"/>
        <w:adjustRightInd w:val="0"/>
        <w:jc w:val="both"/>
        <w:rPr>
          <w:rFonts w:ascii="Averta" w:eastAsiaTheme="minorHAnsi" w:hAnsi="Averta" w:cs="Arial"/>
          <w:b/>
          <w:color w:val="000000" w:themeColor="text1"/>
          <w:sz w:val="22"/>
          <w:szCs w:val="22"/>
          <w:lang w:val="es-MX" w:eastAsia="en-US"/>
        </w:rPr>
      </w:pPr>
    </w:p>
    <w:p w14:paraId="08625500" w14:textId="61836FE4" w:rsidR="00F61D4B" w:rsidRPr="00AA0ABD" w:rsidRDefault="00F61D4B" w:rsidP="000866AE">
      <w:pPr>
        <w:autoSpaceDE w:val="0"/>
        <w:autoSpaceDN w:val="0"/>
        <w:adjustRightInd w:val="0"/>
        <w:jc w:val="both"/>
        <w:rPr>
          <w:rFonts w:ascii="Averta" w:eastAsiaTheme="minorHAnsi" w:hAnsi="Averta" w:cs="Arial"/>
          <w:color w:val="000000" w:themeColor="text1"/>
          <w:sz w:val="22"/>
          <w:szCs w:val="22"/>
          <w:lang w:val="es-MX" w:eastAsia="en-US"/>
        </w:rPr>
      </w:pPr>
      <w:r w:rsidRPr="00AA0ABD">
        <w:rPr>
          <w:rFonts w:ascii="Averta" w:eastAsiaTheme="minorHAnsi" w:hAnsi="Averta" w:cs="Arial"/>
          <w:color w:val="000000" w:themeColor="text1"/>
          <w:sz w:val="22"/>
          <w:szCs w:val="22"/>
          <w:lang w:val="es-MX" w:eastAsia="en-US"/>
        </w:rPr>
        <w:t xml:space="preserve">Artículo 86: </w:t>
      </w:r>
      <w:r w:rsidR="00124B03" w:rsidRPr="00AA0ABD">
        <w:rPr>
          <w:rFonts w:ascii="Averta" w:eastAsiaTheme="minorHAnsi" w:hAnsi="Averta" w:cs="Arial"/>
          <w:color w:val="000000" w:themeColor="text1"/>
          <w:sz w:val="22"/>
          <w:szCs w:val="22"/>
          <w:lang w:val="es-MX" w:eastAsia="en-US"/>
        </w:rPr>
        <w:t xml:space="preserve">“Los estados financieros y demás información programática, presupuestal y contable que emanen de las contabilidades de las Secretarías, Dependencias y Entidades comprendidas en la Ley de Presupuesto de Egresos del Estado del ejercicio fiscal que corresponda, serán consolidados por la </w:t>
      </w:r>
      <w:r w:rsidR="00124B03" w:rsidRPr="00AA0ABD">
        <w:rPr>
          <w:rFonts w:ascii="Averta" w:eastAsiaTheme="minorHAnsi" w:hAnsi="Averta"/>
          <w:color w:val="000000" w:themeColor="text1"/>
          <w:sz w:val="22"/>
          <w:szCs w:val="22"/>
          <w:lang w:val="es-MX" w:eastAsia="en-US"/>
        </w:rPr>
        <w:t>Secretaría</w:t>
      </w:r>
      <w:r w:rsidR="00124B03" w:rsidRPr="00AA0ABD">
        <w:rPr>
          <w:rFonts w:ascii="Averta" w:eastAsiaTheme="minorHAnsi" w:hAnsi="Averta" w:cs="Arial"/>
          <w:color w:val="000000" w:themeColor="text1"/>
          <w:sz w:val="22"/>
          <w:szCs w:val="22"/>
          <w:lang w:val="es-MX" w:eastAsia="en-US"/>
        </w:rPr>
        <w:t>, la que será responsable de formular la Cuenta Pública del Estado y someterla a la consideración de la Gobernadora o del Gobernador del Estado.</w:t>
      </w:r>
    </w:p>
    <w:p w14:paraId="3F638E7B" w14:textId="77777777" w:rsidR="00F61D4B" w:rsidRPr="00AA0ABD" w:rsidRDefault="00F61D4B" w:rsidP="000866AE">
      <w:pPr>
        <w:autoSpaceDE w:val="0"/>
        <w:autoSpaceDN w:val="0"/>
        <w:adjustRightInd w:val="0"/>
        <w:rPr>
          <w:rFonts w:ascii="Averta" w:eastAsiaTheme="minorHAnsi" w:hAnsi="Averta" w:cs="Arial"/>
          <w:color w:val="000000" w:themeColor="text1"/>
          <w:sz w:val="22"/>
          <w:szCs w:val="22"/>
          <w:lang w:val="es-MX" w:eastAsia="en-US"/>
        </w:rPr>
      </w:pPr>
    </w:p>
    <w:p w14:paraId="5305039D" w14:textId="2CC5BCF2" w:rsidR="00124B03" w:rsidRPr="00AA0ABD" w:rsidRDefault="00124B03" w:rsidP="000866AE">
      <w:pPr>
        <w:autoSpaceDE w:val="0"/>
        <w:autoSpaceDN w:val="0"/>
        <w:adjustRightInd w:val="0"/>
        <w:jc w:val="both"/>
        <w:rPr>
          <w:rFonts w:ascii="Averta" w:eastAsiaTheme="minorHAnsi" w:hAnsi="Averta" w:cs="Arial"/>
          <w:color w:val="000000" w:themeColor="text1"/>
          <w:sz w:val="22"/>
          <w:szCs w:val="22"/>
          <w:lang w:val="es-MX" w:eastAsia="en-US"/>
        </w:rPr>
      </w:pPr>
      <w:r w:rsidRPr="00AA0ABD">
        <w:rPr>
          <w:rFonts w:ascii="Averta" w:eastAsiaTheme="minorHAnsi" w:hAnsi="Averta" w:cs="Arial"/>
          <w:color w:val="000000" w:themeColor="text1"/>
          <w:sz w:val="22"/>
          <w:szCs w:val="22"/>
          <w:lang w:val="es-MX" w:eastAsia="en-US"/>
        </w:rPr>
        <w:t xml:space="preserve">La Cuenta Pública del año anterior deberá ser enviada al H. Congreso del Estado a más tardar el treinta de abril, por lo que las Secretarías, Dependencias y Entidades remitirán sus reportes a la Secretaría antes del diez de marzo. Sólo se podrá ampliar el plazo de presentación de la cuenta pública cuando medie solicitud de la Gobernadora o del Gobernador del Estado, suficientemente justificada a juicio del H. Congreso del </w:t>
      </w:r>
      <w:r w:rsidR="006B0655" w:rsidRPr="00AA0ABD">
        <w:rPr>
          <w:rFonts w:ascii="Averta" w:eastAsiaTheme="minorHAnsi" w:hAnsi="Averta" w:cs="Arial"/>
          <w:color w:val="000000" w:themeColor="text1"/>
          <w:sz w:val="22"/>
          <w:szCs w:val="22"/>
          <w:lang w:val="es-MX" w:eastAsia="en-US"/>
        </w:rPr>
        <w:t>Estado “</w:t>
      </w:r>
      <w:r w:rsidRPr="00AA0ABD">
        <w:rPr>
          <w:rFonts w:ascii="Averta" w:eastAsiaTheme="minorHAnsi" w:hAnsi="Averta" w:cs="Arial"/>
          <w:color w:val="000000" w:themeColor="text1"/>
          <w:sz w:val="22"/>
          <w:szCs w:val="22"/>
          <w:lang w:val="es-MX" w:eastAsia="en-US"/>
        </w:rPr>
        <w:t>.</w:t>
      </w:r>
    </w:p>
    <w:p w14:paraId="74ED5EA4" w14:textId="77777777" w:rsidR="00124B03" w:rsidRPr="00AA0ABD" w:rsidRDefault="00124B03" w:rsidP="000866AE">
      <w:pPr>
        <w:autoSpaceDE w:val="0"/>
        <w:autoSpaceDN w:val="0"/>
        <w:adjustRightInd w:val="0"/>
        <w:jc w:val="both"/>
        <w:rPr>
          <w:rFonts w:ascii="Averta" w:eastAsiaTheme="minorHAnsi" w:hAnsi="Averta" w:cs="Arial"/>
          <w:color w:val="000000" w:themeColor="text1"/>
          <w:sz w:val="22"/>
          <w:szCs w:val="22"/>
          <w:lang w:val="es-MX" w:eastAsia="en-US"/>
        </w:rPr>
      </w:pPr>
    </w:p>
    <w:p w14:paraId="2967C97F" w14:textId="7ED5D45C" w:rsidR="006B0655" w:rsidRPr="00AA0ABD" w:rsidRDefault="00124B03" w:rsidP="004408D0">
      <w:pPr>
        <w:autoSpaceDE w:val="0"/>
        <w:autoSpaceDN w:val="0"/>
        <w:adjustRightInd w:val="0"/>
        <w:jc w:val="both"/>
        <w:rPr>
          <w:rFonts w:ascii="Averta" w:eastAsiaTheme="minorHAnsi" w:hAnsi="Averta" w:cs="Arial"/>
          <w:color w:val="000000" w:themeColor="text1"/>
          <w:sz w:val="22"/>
          <w:szCs w:val="22"/>
          <w:lang w:val="es-MX" w:eastAsia="en-US"/>
        </w:rPr>
      </w:pPr>
      <w:r w:rsidRPr="00AA0ABD">
        <w:rPr>
          <w:rFonts w:ascii="Averta" w:eastAsiaTheme="minorHAnsi" w:hAnsi="Averta" w:cs="Arial"/>
          <w:color w:val="000000" w:themeColor="text1"/>
          <w:sz w:val="22"/>
          <w:szCs w:val="22"/>
          <w:lang w:val="es-MX" w:eastAsia="en-US"/>
        </w:rPr>
        <w:t xml:space="preserve">Artículo 87.- </w:t>
      </w:r>
      <w:r w:rsidR="006B0655" w:rsidRPr="00AA0ABD">
        <w:rPr>
          <w:rFonts w:ascii="Averta" w:eastAsiaTheme="minorHAnsi" w:hAnsi="Averta" w:cs="Arial"/>
          <w:color w:val="000000" w:themeColor="text1"/>
          <w:sz w:val="22"/>
          <w:szCs w:val="22"/>
          <w:lang w:val="es-MX" w:eastAsia="en-US"/>
        </w:rPr>
        <w:t>“</w:t>
      </w:r>
      <w:r w:rsidRPr="00AA0ABD">
        <w:rPr>
          <w:rFonts w:ascii="Averta" w:eastAsiaTheme="minorHAnsi" w:hAnsi="Averta" w:cs="Arial"/>
          <w:color w:val="000000" w:themeColor="text1"/>
          <w:sz w:val="22"/>
          <w:szCs w:val="22"/>
          <w:lang w:val="es-MX" w:eastAsia="en-US"/>
        </w:rPr>
        <w:t>La Cuenta Pública del Estado deberá atender en su cobertura a lo establecido en esta Ley y contendrá como mínimo la información que ordena el artículo 53 de la Ley General de Contabilidad Gubernamental”</w:t>
      </w:r>
      <w:r w:rsidR="006B0655" w:rsidRPr="00AA0ABD">
        <w:rPr>
          <w:rFonts w:ascii="Averta" w:eastAsiaTheme="minorHAnsi" w:hAnsi="Averta" w:cs="Arial"/>
          <w:color w:val="000000" w:themeColor="text1"/>
          <w:sz w:val="22"/>
          <w:szCs w:val="22"/>
          <w:lang w:val="es-MX" w:eastAsia="en-US"/>
        </w:rPr>
        <w:t>.</w:t>
      </w:r>
    </w:p>
    <w:p w14:paraId="1BA65545" w14:textId="77777777" w:rsidR="00F61D4B" w:rsidRPr="00AA0ABD" w:rsidRDefault="00F61D4B" w:rsidP="00F61D4B">
      <w:pPr>
        <w:pStyle w:val="Ttulo1"/>
        <w:ind w:right="190"/>
        <w:jc w:val="both"/>
        <w:rPr>
          <w:rFonts w:ascii="Averta" w:hAnsi="Averta"/>
          <w:color w:val="000000" w:themeColor="text1"/>
          <w:sz w:val="22"/>
          <w:szCs w:val="22"/>
        </w:rPr>
      </w:pPr>
      <w:r w:rsidRPr="00AA0ABD">
        <w:rPr>
          <w:rFonts w:ascii="Averta" w:hAnsi="Averta"/>
          <w:color w:val="000000" w:themeColor="text1"/>
          <w:sz w:val="22"/>
          <w:szCs w:val="22"/>
        </w:rPr>
        <w:t xml:space="preserve">6.2. </w:t>
      </w:r>
      <w:r w:rsidRPr="00AA0ABD">
        <w:rPr>
          <w:rFonts w:ascii="Averta" w:hAnsi="Averta"/>
          <w:color w:val="000000" w:themeColor="text1"/>
          <w:sz w:val="22"/>
          <w:szCs w:val="22"/>
        </w:rPr>
        <w:tab/>
        <w:t>Información Financiera Gubernamental.</w:t>
      </w:r>
    </w:p>
    <w:p w14:paraId="5722095D" w14:textId="77777777" w:rsidR="00F61D4B" w:rsidRPr="00AA0ABD" w:rsidRDefault="00F61D4B" w:rsidP="00F61D4B">
      <w:pPr>
        <w:rPr>
          <w:rFonts w:ascii="Averta" w:hAnsi="Averta"/>
          <w:color w:val="000000" w:themeColor="text1"/>
          <w:sz w:val="22"/>
          <w:szCs w:val="22"/>
          <w:lang w:eastAsia="es-MX"/>
        </w:rPr>
      </w:pPr>
    </w:p>
    <w:p w14:paraId="4FCE11B2" w14:textId="77777777" w:rsidR="00F61D4B" w:rsidRPr="00AA0ABD" w:rsidRDefault="00F61D4B" w:rsidP="000866AE">
      <w:pPr>
        <w:pStyle w:val="Texto"/>
        <w:spacing w:line="240" w:lineRule="auto"/>
        <w:ind w:right="49" w:firstLine="0"/>
        <w:rPr>
          <w:rFonts w:ascii="Averta" w:hAnsi="Averta" w:cs="Tahoma"/>
          <w:color w:val="000000" w:themeColor="text1"/>
          <w:sz w:val="22"/>
          <w:szCs w:val="22"/>
        </w:rPr>
      </w:pPr>
      <w:r w:rsidRPr="00AA0ABD">
        <w:rPr>
          <w:rFonts w:ascii="Averta" w:hAnsi="Averta" w:cs="Tahoma"/>
          <w:color w:val="000000" w:themeColor="text1"/>
          <w:sz w:val="22"/>
          <w:szCs w:val="22"/>
        </w:rPr>
        <w:t xml:space="preserve">Los estados financieros y la información emanada de la contabilidad deberán sujetarse a criterios  establecidos en el Título Cuarto, Capítulo I de la LGCG, en términos de utilidad, confiabilidad, relevancia, comprensibilidad y de comparación, así como a otros atributos asociados a cada uno de ellos, como oportunidad, veracidad, representatividad, objetividad, suficiencia, posibilidad de predicción e importancia relativa, con el fin de alcanzar la modernización y armonización establecidas en la citada Ley. </w:t>
      </w:r>
    </w:p>
    <w:p w14:paraId="75B95D09" w14:textId="77777777" w:rsidR="00F61D4B" w:rsidRPr="00AA0ABD" w:rsidRDefault="00F61D4B" w:rsidP="000866AE">
      <w:pPr>
        <w:pStyle w:val="Texto"/>
        <w:spacing w:line="240" w:lineRule="auto"/>
        <w:ind w:right="49" w:firstLine="0"/>
        <w:rPr>
          <w:rFonts w:ascii="Averta" w:hAnsi="Averta" w:cs="Tahoma"/>
          <w:color w:val="000000" w:themeColor="text1"/>
          <w:sz w:val="22"/>
          <w:szCs w:val="22"/>
        </w:rPr>
      </w:pPr>
    </w:p>
    <w:p w14:paraId="63331D73" w14:textId="77777777" w:rsidR="00F61D4B" w:rsidRPr="00AA0ABD" w:rsidRDefault="00F61D4B" w:rsidP="000866AE">
      <w:pPr>
        <w:pStyle w:val="Default"/>
        <w:ind w:right="49"/>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Con fundamento en el </w:t>
      </w:r>
      <w:r w:rsidRPr="00AA0ABD">
        <w:rPr>
          <w:rFonts w:ascii="Averta" w:hAnsi="Averta" w:cs="Tahoma"/>
          <w:bCs/>
          <w:color w:val="000000" w:themeColor="text1"/>
          <w:sz w:val="22"/>
          <w:szCs w:val="22"/>
          <w:lang w:val="es-MX"/>
        </w:rPr>
        <w:t xml:space="preserve">Artículo 53 de la </w:t>
      </w:r>
      <w:r w:rsidRPr="00AA0ABD">
        <w:rPr>
          <w:rFonts w:ascii="Averta" w:hAnsi="Averta" w:cs="Tahoma"/>
          <w:color w:val="000000" w:themeColor="text1"/>
          <w:sz w:val="22"/>
          <w:szCs w:val="22"/>
        </w:rPr>
        <w:t xml:space="preserve">LGCG </w:t>
      </w:r>
      <w:r w:rsidRPr="00AA0ABD">
        <w:rPr>
          <w:rFonts w:ascii="Averta" w:hAnsi="Averta" w:cs="Tahoma"/>
          <w:color w:val="000000" w:themeColor="text1"/>
          <w:sz w:val="22"/>
          <w:szCs w:val="22"/>
          <w:lang w:val="es-MX"/>
        </w:rPr>
        <w:t>la cuenta pública deberá atender en su cobertura a lo establecido en su marco legal vigente y contendrá como mínimo:</w:t>
      </w:r>
    </w:p>
    <w:p w14:paraId="3AFDB64B" w14:textId="77777777" w:rsidR="00F61D4B" w:rsidRPr="00AA0ABD" w:rsidRDefault="00F61D4B" w:rsidP="000866AE">
      <w:pPr>
        <w:pStyle w:val="Default"/>
        <w:ind w:right="49"/>
        <w:jc w:val="both"/>
        <w:rPr>
          <w:rFonts w:ascii="Averta" w:hAnsi="Averta" w:cs="Tahoma"/>
          <w:i/>
          <w:color w:val="000000" w:themeColor="text1"/>
          <w:sz w:val="22"/>
          <w:szCs w:val="22"/>
          <w:lang w:val="es-MX"/>
        </w:rPr>
      </w:pPr>
    </w:p>
    <w:p w14:paraId="32473C34" w14:textId="77777777" w:rsidR="00F61D4B" w:rsidRPr="00AA0ABD" w:rsidRDefault="00F61D4B" w:rsidP="000866AE">
      <w:pPr>
        <w:pStyle w:val="Default"/>
        <w:numPr>
          <w:ilvl w:val="0"/>
          <w:numId w:val="7"/>
        </w:numPr>
        <w:ind w:left="426" w:right="49"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Información contable (LGCG Artículo 46 fracción I):</w:t>
      </w:r>
    </w:p>
    <w:p w14:paraId="71DD7260"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a)</w:t>
      </w:r>
      <w:r w:rsidRPr="00AA0ABD">
        <w:rPr>
          <w:rFonts w:ascii="Averta" w:hAnsi="Averta" w:cs="Tahoma"/>
          <w:color w:val="000000" w:themeColor="text1"/>
          <w:sz w:val="22"/>
          <w:szCs w:val="22"/>
          <w:lang w:eastAsia="es-ES"/>
        </w:rPr>
        <w:tab/>
        <w:t>Estado de actividades;</w:t>
      </w:r>
    </w:p>
    <w:p w14:paraId="5779C4C2"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b)</w:t>
      </w:r>
      <w:r w:rsidRPr="00AA0ABD">
        <w:rPr>
          <w:rFonts w:ascii="Averta" w:hAnsi="Averta" w:cs="Tahoma"/>
          <w:color w:val="000000" w:themeColor="text1"/>
          <w:sz w:val="22"/>
          <w:szCs w:val="22"/>
          <w:lang w:eastAsia="es-ES"/>
        </w:rPr>
        <w:tab/>
        <w:t>Estado de situación financiera;</w:t>
      </w:r>
    </w:p>
    <w:p w14:paraId="757E384A"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c)</w:t>
      </w:r>
      <w:r w:rsidRPr="00AA0ABD">
        <w:rPr>
          <w:rFonts w:ascii="Averta" w:hAnsi="Averta" w:cs="Tahoma"/>
          <w:color w:val="000000" w:themeColor="text1"/>
          <w:sz w:val="22"/>
          <w:szCs w:val="22"/>
          <w:lang w:eastAsia="es-ES"/>
        </w:rPr>
        <w:tab/>
        <w:t>Estado de variación en la hacienda pública;</w:t>
      </w:r>
    </w:p>
    <w:p w14:paraId="06426BB8"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lastRenderedPageBreak/>
        <w:t>d)</w:t>
      </w:r>
      <w:r w:rsidRPr="00AA0ABD">
        <w:rPr>
          <w:rFonts w:ascii="Averta" w:hAnsi="Averta" w:cs="Tahoma"/>
          <w:color w:val="000000" w:themeColor="text1"/>
          <w:sz w:val="22"/>
          <w:szCs w:val="22"/>
          <w:lang w:eastAsia="es-ES"/>
        </w:rPr>
        <w:tab/>
        <w:t>Estado de cambios en la situación financiera;</w:t>
      </w:r>
    </w:p>
    <w:p w14:paraId="3D2B16A2"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e)</w:t>
      </w:r>
      <w:r w:rsidRPr="00AA0ABD">
        <w:rPr>
          <w:rFonts w:ascii="Averta" w:hAnsi="Averta" w:cs="Tahoma"/>
          <w:color w:val="000000" w:themeColor="text1"/>
          <w:sz w:val="22"/>
          <w:szCs w:val="22"/>
          <w:lang w:eastAsia="es-ES"/>
        </w:rPr>
        <w:tab/>
        <w:t>Estado de flujos de efectivo;</w:t>
      </w:r>
    </w:p>
    <w:p w14:paraId="391025CF"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f)</w:t>
      </w:r>
      <w:r w:rsidRPr="00AA0ABD">
        <w:rPr>
          <w:rFonts w:ascii="Averta" w:hAnsi="Averta" w:cs="Tahoma"/>
          <w:color w:val="000000" w:themeColor="text1"/>
          <w:sz w:val="22"/>
          <w:szCs w:val="22"/>
          <w:lang w:eastAsia="es-ES"/>
        </w:rPr>
        <w:tab/>
        <w:t>Informes sobre pasivos contingentes;</w:t>
      </w:r>
    </w:p>
    <w:p w14:paraId="3B8751B0" w14:textId="7777777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g)</w:t>
      </w:r>
      <w:r w:rsidRPr="00AA0ABD">
        <w:rPr>
          <w:rFonts w:ascii="Averta" w:hAnsi="Averta" w:cs="Tahoma"/>
          <w:color w:val="000000" w:themeColor="text1"/>
          <w:sz w:val="22"/>
          <w:szCs w:val="22"/>
          <w:lang w:eastAsia="es-ES"/>
        </w:rPr>
        <w:tab/>
        <w:t>Notas a los estados financieros;</w:t>
      </w:r>
    </w:p>
    <w:p w14:paraId="51559E75" w14:textId="7ED9C9F7" w:rsidR="00F61D4B" w:rsidRPr="00AA0ABD" w:rsidRDefault="00F61D4B"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h)</w:t>
      </w:r>
      <w:r w:rsidRPr="00AA0ABD">
        <w:rPr>
          <w:rFonts w:ascii="Averta" w:hAnsi="Averta" w:cs="Tahoma"/>
          <w:color w:val="000000" w:themeColor="text1"/>
          <w:sz w:val="22"/>
          <w:szCs w:val="22"/>
          <w:lang w:eastAsia="es-ES"/>
        </w:rPr>
        <w:tab/>
      </w:r>
      <w:r w:rsidR="00091E2B" w:rsidRPr="00AA0ABD">
        <w:rPr>
          <w:rFonts w:ascii="Averta" w:hAnsi="Averta" w:cs="Tahoma"/>
          <w:color w:val="000000" w:themeColor="text1"/>
          <w:sz w:val="22"/>
          <w:szCs w:val="22"/>
          <w:lang w:eastAsia="es-ES"/>
        </w:rPr>
        <w:t>Estado analítico del activo;</w:t>
      </w:r>
      <w:r w:rsidRPr="00AA0ABD">
        <w:rPr>
          <w:rFonts w:ascii="Averta" w:hAnsi="Averta" w:cs="Tahoma"/>
          <w:color w:val="000000" w:themeColor="text1"/>
          <w:sz w:val="22"/>
          <w:szCs w:val="22"/>
          <w:lang w:eastAsia="es-ES"/>
        </w:rPr>
        <w:t xml:space="preserve"> e</w:t>
      </w:r>
    </w:p>
    <w:p w14:paraId="5FC2204C" w14:textId="079AE4FA" w:rsidR="00605575" w:rsidRPr="00AA0ABD" w:rsidRDefault="007A6717" w:rsidP="000866AE">
      <w:pPr>
        <w:pStyle w:val="Texto"/>
        <w:spacing w:after="0" w:line="240" w:lineRule="exact"/>
        <w:ind w:left="851" w:right="49" w:hanging="425"/>
        <w:rPr>
          <w:rFonts w:ascii="Averta" w:hAnsi="Averta" w:cs="Tahoma"/>
          <w:color w:val="000000" w:themeColor="text1"/>
          <w:sz w:val="22"/>
          <w:szCs w:val="22"/>
          <w:lang w:eastAsia="es-ES"/>
        </w:rPr>
      </w:pPr>
      <w:r w:rsidRPr="00AA0ABD">
        <w:rPr>
          <w:rFonts w:ascii="Averta" w:hAnsi="Averta" w:cs="Tahoma"/>
          <w:b/>
          <w:color w:val="000000" w:themeColor="text1"/>
          <w:sz w:val="22"/>
          <w:szCs w:val="22"/>
          <w:lang w:eastAsia="es-ES"/>
        </w:rPr>
        <w:t xml:space="preserve"> </w:t>
      </w:r>
      <w:r w:rsidR="00F61D4B" w:rsidRPr="00AA0ABD">
        <w:rPr>
          <w:rFonts w:ascii="Averta" w:hAnsi="Averta" w:cs="Tahoma"/>
          <w:b/>
          <w:color w:val="000000" w:themeColor="text1"/>
          <w:sz w:val="22"/>
          <w:szCs w:val="22"/>
          <w:lang w:eastAsia="es-ES"/>
        </w:rPr>
        <w:t>i)</w:t>
      </w:r>
      <w:r w:rsidR="00F61D4B" w:rsidRPr="00AA0ABD">
        <w:rPr>
          <w:rFonts w:ascii="Averta" w:hAnsi="Averta" w:cs="Tahoma"/>
          <w:color w:val="000000" w:themeColor="text1"/>
          <w:sz w:val="22"/>
          <w:szCs w:val="22"/>
          <w:lang w:eastAsia="es-ES"/>
        </w:rPr>
        <w:tab/>
      </w:r>
      <w:r w:rsidR="00605575" w:rsidRPr="00AA0ABD">
        <w:rPr>
          <w:rFonts w:ascii="Averta" w:hAnsi="Averta" w:cs="Tahoma"/>
          <w:color w:val="000000" w:themeColor="text1"/>
          <w:sz w:val="22"/>
          <w:szCs w:val="22"/>
          <w:lang w:eastAsia="es-ES"/>
        </w:rPr>
        <w:t xml:space="preserve">Estado analítico </w:t>
      </w:r>
      <w:r w:rsidR="00F61D4B" w:rsidRPr="00AA0ABD">
        <w:rPr>
          <w:rFonts w:ascii="Averta" w:hAnsi="Averta" w:cs="Tahoma"/>
          <w:color w:val="000000" w:themeColor="text1"/>
          <w:sz w:val="22"/>
          <w:szCs w:val="22"/>
          <w:lang w:eastAsia="es-ES"/>
        </w:rPr>
        <w:t>de Deuda Pública y otros pasivos, con las clasificaciones siguientes:</w:t>
      </w:r>
    </w:p>
    <w:p w14:paraId="6F268041" w14:textId="56975B6A" w:rsidR="00F61D4B" w:rsidRPr="00AA0ABD" w:rsidRDefault="00D852C2" w:rsidP="000866AE">
      <w:pPr>
        <w:pStyle w:val="Texto"/>
        <w:spacing w:after="0" w:line="240" w:lineRule="auto"/>
        <w:ind w:left="1276" w:right="49" w:hanging="425"/>
        <w:rPr>
          <w:rFonts w:ascii="Averta" w:hAnsi="Averta"/>
          <w:color w:val="000000" w:themeColor="text1"/>
          <w:sz w:val="22"/>
          <w:szCs w:val="22"/>
        </w:rPr>
      </w:pPr>
      <w:r w:rsidRPr="00AA0ABD">
        <w:rPr>
          <w:rFonts w:ascii="Averta" w:hAnsi="Averta"/>
          <w:b/>
          <w:color w:val="000000" w:themeColor="text1"/>
          <w:sz w:val="22"/>
          <w:szCs w:val="22"/>
        </w:rPr>
        <w:t>I</w:t>
      </w:r>
      <w:r w:rsidR="00F61D4B" w:rsidRPr="00AA0ABD">
        <w:rPr>
          <w:rFonts w:ascii="Averta" w:hAnsi="Averta"/>
          <w:b/>
          <w:color w:val="000000" w:themeColor="text1"/>
          <w:sz w:val="22"/>
          <w:szCs w:val="22"/>
        </w:rPr>
        <w:t xml:space="preserve">. </w:t>
      </w:r>
      <w:r w:rsidR="006B0655" w:rsidRPr="00AA0ABD">
        <w:rPr>
          <w:rFonts w:ascii="Averta" w:hAnsi="Averta"/>
          <w:b/>
          <w:color w:val="000000" w:themeColor="text1"/>
          <w:sz w:val="22"/>
          <w:szCs w:val="22"/>
        </w:rPr>
        <w:tab/>
      </w:r>
      <w:r w:rsidR="00F61D4B" w:rsidRPr="00AA0ABD">
        <w:rPr>
          <w:rFonts w:ascii="Averta" w:hAnsi="Averta"/>
          <w:color w:val="000000" w:themeColor="text1"/>
          <w:sz w:val="22"/>
          <w:szCs w:val="22"/>
        </w:rPr>
        <w:t>Estado analítico de la deuda:</w:t>
      </w:r>
    </w:p>
    <w:p w14:paraId="33132EFB" w14:textId="5BFF07E8" w:rsidR="00F61D4B" w:rsidRPr="00AA0ABD" w:rsidRDefault="00F61D4B" w:rsidP="000866AE">
      <w:pPr>
        <w:pStyle w:val="Texto"/>
        <w:tabs>
          <w:tab w:val="left" w:pos="1276"/>
          <w:tab w:val="left" w:pos="1560"/>
        </w:tabs>
        <w:spacing w:after="0" w:line="240" w:lineRule="auto"/>
        <w:ind w:left="1134" w:right="49" w:firstLine="142"/>
        <w:rPr>
          <w:rFonts w:ascii="Averta" w:hAnsi="Averta"/>
          <w:color w:val="000000" w:themeColor="text1"/>
          <w:sz w:val="22"/>
          <w:szCs w:val="22"/>
        </w:rPr>
      </w:pPr>
      <w:r w:rsidRPr="00AA0ABD">
        <w:rPr>
          <w:rFonts w:ascii="Averta" w:hAnsi="Averta"/>
          <w:b/>
          <w:color w:val="000000" w:themeColor="text1"/>
          <w:sz w:val="22"/>
          <w:szCs w:val="22"/>
        </w:rPr>
        <w:t>a)</w:t>
      </w:r>
      <w:r w:rsidRPr="00AA0ABD">
        <w:rPr>
          <w:rFonts w:ascii="Averta" w:hAnsi="Averta"/>
          <w:b/>
          <w:color w:val="000000" w:themeColor="text1"/>
          <w:sz w:val="22"/>
          <w:szCs w:val="22"/>
        </w:rPr>
        <w:tab/>
      </w:r>
      <w:r w:rsidRPr="00AA0ABD">
        <w:rPr>
          <w:rFonts w:ascii="Averta" w:hAnsi="Averta"/>
          <w:color w:val="000000" w:themeColor="text1"/>
          <w:sz w:val="22"/>
          <w:szCs w:val="22"/>
        </w:rPr>
        <w:t>Corto y largo plazo;</w:t>
      </w:r>
      <w:r w:rsidR="00091E2B" w:rsidRPr="00AA0ABD">
        <w:rPr>
          <w:rFonts w:ascii="Averta" w:hAnsi="Averta"/>
          <w:color w:val="000000" w:themeColor="text1"/>
          <w:sz w:val="22"/>
          <w:szCs w:val="22"/>
        </w:rPr>
        <w:t xml:space="preserve"> y</w:t>
      </w:r>
    </w:p>
    <w:p w14:paraId="01FE2648" w14:textId="4AF30FB1" w:rsidR="00F61D4B" w:rsidRPr="00AA0ABD" w:rsidRDefault="00F61D4B" w:rsidP="000866AE">
      <w:pPr>
        <w:pStyle w:val="Texto"/>
        <w:tabs>
          <w:tab w:val="left" w:pos="1276"/>
          <w:tab w:val="left" w:pos="1560"/>
        </w:tabs>
        <w:spacing w:after="0" w:line="240" w:lineRule="auto"/>
        <w:ind w:left="1134" w:right="49" w:firstLine="142"/>
        <w:rPr>
          <w:rFonts w:ascii="Averta" w:hAnsi="Averta"/>
          <w:color w:val="000000" w:themeColor="text1"/>
          <w:sz w:val="22"/>
          <w:szCs w:val="22"/>
        </w:rPr>
      </w:pPr>
      <w:r w:rsidRPr="00AA0ABD">
        <w:rPr>
          <w:rFonts w:ascii="Averta" w:hAnsi="Averta"/>
          <w:b/>
          <w:color w:val="000000" w:themeColor="text1"/>
          <w:sz w:val="22"/>
          <w:szCs w:val="22"/>
        </w:rPr>
        <w:t>b)</w:t>
      </w:r>
      <w:r w:rsidRPr="00AA0ABD">
        <w:rPr>
          <w:rFonts w:ascii="Averta" w:hAnsi="Averta"/>
          <w:b/>
          <w:color w:val="000000" w:themeColor="text1"/>
          <w:sz w:val="22"/>
          <w:szCs w:val="22"/>
        </w:rPr>
        <w:tab/>
      </w:r>
      <w:r w:rsidR="00091E2B" w:rsidRPr="00AA0ABD">
        <w:rPr>
          <w:rFonts w:ascii="Averta" w:hAnsi="Averta"/>
          <w:color w:val="000000" w:themeColor="text1"/>
          <w:sz w:val="22"/>
          <w:szCs w:val="22"/>
        </w:rPr>
        <w:t>Fuentes de financiamiento.</w:t>
      </w:r>
    </w:p>
    <w:p w14:paraId="0E0F5C7F" w14:textId="59D567B0" w:rsidR="00F61D4B" w:rsidRPr="00AA0ABD" w:rsidRDefault="00D852C2" w:rsidP="000866AE">
      <w:pPr>
        <w:pStyle w:val="Texto"/>
        <w:tabs>
          <w:tab w:val="left" w:pos="1276"/>
        </w:tabs>
        <w:spacing w:after="0" w:line="240" w:lineRule="auto"/>
        <w:ind w:left="993" w:right="49" w:hanging="142"/>
        <w:rPr>
          <w:rFonts w:ascii="Averta" w:hAnsi="Averta"/>
          <w:color w:val="000000" w:themeColor="text1"/>
          <w:sz w:val="22"/>
          <w:szCs w:val="22"/>
        </w:rPr>
      </w:pPr>
      <w:r w:rsidRPr="00AA0ABD">
        <w:rPr>
          <w:rFonts w:ascii="Averta" w:hAnsi="Averta"/>
          <w:b/>
          <w:color w:val="000000" w:themeColor="text1"/>
          <w:sz w:val="22"/>
          <w:szCs w:val="22"/>
        </w:rPr>
        <w:t>II</w:t>
      </w:r>
      <w:r w:rsidR="00B12FB8" w:rsidRPr="00AA0ABD">
        <w:rPr>
          <w:rFonts w:ascii="Averta" w:hAnsi="Averta"/>
          <w:b/>
          <w:color w:val="000000" w:themeColor="text1"/>
          <w:sz w:val="22"/>
          <w:szCs w:val="22"/>
        </w:rPr>
        <w:t>.</w:t>
      </w:r>
      <w:r w:rsidR="00B12FB8" w:rsidRPr="00AA0ABD">
        <w:rPr>
          <w:rFonts w:ascii="Averta" w:hAnsi="Averta"/>
          <w:b/>
          <w:color w:val="000000" w:themeColor="text1"/>
          <w:sz w:val="22"/>
          <w:szCs w:val="22"/>
        </w:rPr>
        <w:tab/>
      </w:r>
      <w:r w:rsidR="00F61D4B" w:rsidRPr="00AA0ABD">
        <w:rPr>
          <w:rFonts w:ascii="Averta" w:hAnsi="Averta"/>
          <w:color w:val="000000" w:themeColor="text1"/>
          <w:sz w:val="22"/>
          <w:szCs w:val="22"/>
        </w:rPr>
        <w:t xml:space="preserve">Endeudamiento neto, financiamiento menos </w:t>
      </w:r>
      <w:r w:rsidR="00091E2B" w:rsidRPr="00AA0ABD">
        <w:rPr>
          <w:rFonts w:ascii="Averta" w:hAnsi="Averta"/>
          <w:color w:val="000000" w:themeColor="text1"/>
          <w:sz w:val="22"/>
          <w:szCs w:val="22"/>
        </w:rPr>
        <w:t>amortización;</w:t>
      </w:r>
      <w:r w:rsidR="00F61D4B" w:rsidRPr="00AA0ABD">
        <w:rPr>
          <w:rFonts w:ascii="Averta" w:hAnsi="Averta"/>
          <w:color w:val="000000" w:themeColor="text1"/>
          <w:sz w:val="22"/>
          <w:szCs w:val="22"/>
        </w:rPr>
        <w:t xml:space="preserve"> e</w:t>
      </w:r>
    </w:p>
    <w:p w14:paraId="7E5C1A6D" w14:textId="6AF7A214" w:rsidR="00F61D4B" w:rsidRPr="00AA0ABD" w:rsidRDefault="00D852C2" w:rsidP="000866AE">
      <w:pPr>
        <w:pStyle w:val="Texto"/>
        <w:tabs>
          <w:tab w:val="left" w:pos="1276"/>
        </w:tabs>
        <w:spacing w:after="0" w:line="240" w:lineRule="auto"/>
        <w:ind w:left="993" w:right="49" w:hanging="142"/>
        <w:rPr>
          <w:rFonts w:ascii="Averta" w:hAnsi="Averta"/>
          <w:color w:val="000000" w:themeColor="text1"/>
          <w:sz w:val="22"/>
          <w:szCs w:val="22"/>
        </w:rPr>
      </w:pPr>
      <w:r w:rsidRPr="00AA0ABD">
        <w:rPr>
          <w:rFonts w:ascii="Averta" w:hAnsi="Averta"/>
          <w:b/>
          <w:color w:val="000000" w:themeColor="text1"/>
          <w:sz w:val="22"/>
          <w:szCs w:val="22"/>
        </w:rPr>
        <w:t>III</w:t>
      </w:r>
      <w:r w:rsidR="00B12FB8" w:rsidRPr="00AA0ABD">
        <w:rPr>
          <w:rFonts w:ascii="Averta" w:hAnsi="Averta"/>
          <w:b/>
          <w:color w:val="000000" w:themeColor="text1"/>
          <w:sz w:val="22"/>
          <w:szCs w:val="22"/>
        </w:rPr>
        <w:t>.</w:t>
      </w:r>
      <w:r w:rsidR="00B12FB8" w:rsidRPr="00AA0ABD">
        <w:rPr>
          <w:rFonts w:ascii="Averta" w:hAnsi="Averta"/>
          <w:color w:val="000000" w:themeColor="text1"/>
          <w:sz w:val="22"/>
          <w:szCs w:val="22"/>
        </w:rPr>
        <w:tab/>
      </w:r>
      <w:r w:rsidR="00F61D4B" w:rsidRPr="00AA0ABD">
        <w:rPr>
          <w:rFonts w:ascii="Averta" w:hAnsi="Averta"/>
          <w:color w:val="000000" w:themeColor="text1"/>
          <w:sz w:val="22"/>
          <w:szCs w:val="22"/>
        </w:rPr>
        <w:t>Intereses de la deuda.</w:t>
      </w:r>
    </w:p>
    <w:p w14:paraId="777BFE2B" w14:textId="77777777" w:rsidR="00F61D4B" w:rsidRPr="00AA0ABD" w:rsidRDefault="00F61D4B" w:rsidP="000866AE">
      <w:pPr>
        <w:pStyle w:val="Texto"/>
        <w:spacing w:after="0" w:line="240" w:lineRule="auto"/>
        <w:ind w:left="1008" w:right="49" w:hanging="157"/>
        <w:rPr>
          <w:rFonts w:ascii="Averta" w:hAnsi="Averta"/>
          <w:color w:val="000000" w:themeColor="text1"/>
          <w:sz w:val="22"/>
          <w:szCs w:val="22"/>
        </w:rPr>
      </w:pPr>
    </w:p>
    <w:p w14:paraId="679B3BC2" w14:textId="77777777" w:rsidR="00F61D4B" w:rsidRPr="00AA0ABD" w:rsidRDefault="00F61D4B" w:rsidP="000866AE">
      <w:pPr>
        <w:pStyle w:val="Default"/>
        <w:numPr>
          <w:ilvl w:val="0"/>
          <w:numId w:val="7"/>
        </w:numPr>
        <w:ind w:left="426" w:right="49" w:hanging="426"/>
        <w:jc w:val="both"/>
        <w:rPr>
          <w:rFonts w:ascii="Averta" w:hAnsi="Averta"/>
          <w:color w:val="000000" w:themeColor="text1"/>
          <w:sz w:val="22"/>
          <w:szCs w:val="22"/>
        </w:rPr>
      </w:pPr>
      <w:r w:rsidRPr="00AA0ABD">
        <w:rPr>
          <w:rFonts w:ascii="Averta" w:hAnsi="Averta" w:cs="Tahoma"/>
          <w:color w:val="000000" w:themeColor="text1"/>
          <w:sz w:val="22"/>
          <w:szCs w:val="22"/>
          <w:lang w:val="es-MX"/>
        </w:rPr>
        <w:t>Información presupuestaria (LGCG Artículo 46 fracción II):</w:t>
      </w:r>
    </w:p>
    <w:p w14:paraId="49506249" w14:textId="3911BC9F" w:rsidR="00F61D4B" w:rsidRPr="00AA0ABD" w:rsidRDefault="00F61D4B" w:rsidP="000866AE">
      <w:pPr>
        <w:pStyle w:val="Default"/>
        <w:spacing w:after="200"/>
        <w:ind w:left="851" w:right="49" w:hanging="425"/>
        <w:jc w:val="both"/>
        <w:rPr>
          <w:rFonts w:ascii="Averta" w:hAnsi="Averta"/>
          <w:color w:val="000000" w:themeColor="text1"/>
          <w:sz w:val="22"/>
          <w:szCs w:val="22"/>
        </w:rPr>
      </w:pPr>
      <w:r w:rsidRPr="00AA0ABD">
        <w:rPr>
          <w:rFonts w:ascii="Averta" w:hAnsi="Averta"/>
          <w:b/>
          <w:color w:val="000000" w:themeColor="text1"/>
          <w:sz w:val="22"/>
          <w:szCs w:val="22"/>
        </w:rPr>
        <w:t>a)</w:t>
      </w:r>
      <w:r w:rsidRPr="00AA0ABD">
        <w:rPr>
          <w:rFonts w:ascii="Averta" w:hAnsi="Averta"/>
          <w:color w:val="000000" w:themeColor="text1"/>
          <w:sz w:val="22"/>
          <w:szCs w:val="22"/>
        </w:rPr>
        <w:tab/>
        <w:t>Estado analítico de ingresos, del que se derivará la presentación en clasificación económica por fuente de financiamiento y concepto, incluyendo los ingresos excedentes generados;</w:t>
      </w:r>
      <w:r w:rsidR="00091E2B" w:rsidRPr="00AA0ABD">
        <w:rPr>
          <w:rFonts w:ascii="Averta" w:hAnsi="Averta"/>
          <w:color w:val="000000" w:themeColor="text1"/>
          <w:sz w:val="22"/>
          <w:szCs w:val="22"/>
        </w:rPr>
        <w:t xml:space="preserve"> </w:t>
      </w:r>
    </w:p>
    <w:p w14:paraId="2BD75812" w14:textId="77777777" w:rsidR="00F61D4B" w:rsidRPr="00AA0ABD" w:rsidRDefault="00F61D4B" w:rsidP="000866AE">
      <w:pPr>
        <w:pStyle w:val="Texto"/>
        <w:spacing w:after="0" w:line="240" w:lineRule="auto"/>
        <w:ind w:left="896" w:right="49" w:hanging="470"/>
        <w:rPr>
          <w:rFonts w:ascii="Averta" w:hAnsi="Averta"/>
          <w:color w:val="000000" w:themeColor="text1"/>
          <w:sz w:val="22"/>
          <w:szCs w:val="22"/>
        </w:rPr>
      </w:pPr>
      <w:r w:rsidRPr="00AA0ABD">
        <w:rPr>
          <w:rFonts w:ascii="Averta" w:hAnsi="Averta"/>
          <w:b/>
          <w:color w:val="000000" w:themeColor="text1"/>
          <w:sz w:val="22"/>
          <w:szCs w:val="22"/>
        </w:rPr>
        <w:t>b)</w:t>
      </w:r>
      <w:r w:rsidRPr="00AA0ABD">
        <w:rPr>
          <w:rFonts w:ascii="Averta" w:hAnsi="Averta"/>
          <w:color w:val="000000" w:themeColor="text1"/>
          <w:sz w:val="22"/>
          <w:szCs w:val="22"/>
        </w:rPr>
        <w:tab/>
        <w:t>Estado analítico del ejercicio del presupuesto de egresos del que se derivarán las clasificaciones siguientes:</w:t>
      </w:r>
    </w:p>
    <w:p w14:paraId="7F5A844D" w14:textId="77777777" w:rsidR="00F61D4B" w:rsidRPr="00AA0ABD" w:rsidRDefault="00F61D4B" w:rsidP="000866AE">
      <w:pPr>
        <w:pStyle w:val="Texto"/>
        <w:spacing w:after="0" w:line="240" w:lineRule="auto"/>
        <w:ind w:left="993" w:right="49" w:hanging="69"/>
        <w:rPr>
          <w:rFonts w:ascii="Averta" w:hAnsi="Averta"/>
          <w:color w:val="000000" w:themeColor="text1"/>
          <w:sz w:val="22"/>
          <w:szCs w:val="22"/>
        </w:rPr>
      </w:pPr>
      <w:r w:rsidRPr="00AA0ABD">
        <w:rPr>
          <w:rFonts w:ascii="Averta" w:hAnsi="Averta"/>
          <w:b/>
          <w:color w:val="000000" w:themeColor="text1"/>
          <w:sz w:val="22"/>
          <w:szCs w:val="22"/>
        </w:rPr>
        <w:t>1.</w:t>
      </w:r>
      <w:r w:rsidRPr="00AA0ABD">
        <w:rPr>
          <w:rFonts w:ascii="Averta" w:hAnsi="Averta"/>
          <w:color w:val="000000" w:themeColor="text1"/>
          <w:sz w:val="22"/>
          <w:szCs w:val="22"/>
        </w:rPr>
        <w:tab/>
        <w:t>Administrativa;</w:t>
      </w:r>
    </w:p>
    <w:p w14:paraId="4E926F0A" w14:textId="77777777" w:rsidR="00F61D4B" w:rsidRPr="00AA0ABD" w:rsidRDefault="00F61D4B" w:rsidP="000866AE">
      <w:pPr>
        <w:pStyle w:val="Texto"/>
        <w:spacing w:after="0" w:line="240" w:lineRule="auto"/>
        <w:ind w:left="993" w:right="49" w:hanging="69"/>
        <w:rPr>
          <w:rFonts w:ascii="Averta" w:hAnsi="Averta"/>
          <w:color w:val="000000" w:themeColor="text1"/>
          <w:sz w:val="22"/>
          <w:szCs w:val="22"/>
        </w:rPr>
      </w:pPr>
      <w:r w:rsidRPr="00AA0ABD">
        <w:rPr>
          <w:rFonts w:ascii="Averta" w:hAnsi="Averta"/>
          <w:b/>
          <w:color w:val="000000" w:themeColor="text1"/>
          <w:sz w:val="22"/>
          <w:szCs w:val="22"/>
        </w:rPr>
        <w:t>2.</w:t>
      </w:r>
      <w:r w:rsidRPr="00AA0ABD">
        <w:rPr>
          <w:rFonts w:ascii="Averta" w:hAnsi="Averta"/>
          <w:b/>
          <w:color w:val="000000" w:themeColor="text1"/>
          <w:sz w:val="22"/>
          <w:szCs w:val="22"/>
        </w:rPr>
        <w:tab/>
      </w:r>
      <w:r w:rsidRPr="00AA0ABD">
        <w:rPr>
          <w:rFonts w:ascii="Averta" w:hAnsi="Averta"/>
          <w:color w:val="000000" w:themeColor="text1"/>
          <w:sz w:val="22"/>
          <w:szCs w:val="22"/>
        </w:rPr>
        <w:t>Económica;</w:t>
      </w:r>
    </w:p>
    <w:p w14:paraId="62BAB037" w14:textId="2846E828" w:rsidR="00F61D4B" w:rsidRPr="00AA0ABD" w:rsidRDefault="00F61D4B" w:rsidP="000866AE">
      <w:pPr>
        <w:pStyle w:val="Texto"/>
        <w:spacing w:after="0" w:line="240" w:lineRule="auto"/>
        <w:ind w:left="993" w:right="49" w:hanging="69"/>
        <w:rPr>
          <w:rFonts w:ascii="Averta" w:hAnsi="Averta"/>
          <w:color w:val="000000" w:themeColor="text1"/>
          <w:sz w:val="22"/>
          <w:szCs w:val="22"/>
        </w:rPr>
      </w:pPr>
      <w:r w:rsidRPr="00AA0ABD">
        <w:rPr>
          <w:rFonts w:ascii="Averta" w:hAnsi="Averta"/>
          <w:b/>
          <w:color w:val="000000" w:themeColor="text1"/>
          <w:sz w:val="22"/>
          <w:szCs w:val="22"/>
        </w:rPr>
        <w:t>3.</w:t>
      </w:r>
      <w:r w:rsidRPr="00AA0ABD">
        <w:rPr>
          <w:rFonts w:ascii="Averta" w:hAnsi="Averta"/>
          <w:b/>
          <w:color w:val="000000" w:themeColor="text1"/>
          <w:sz w:val="22"/>
          <w:szCs w:val="22"/>
        </w:rPr>
        <w:tab/>
      </w:r>
      <w:r w:rsidR="00091E2B" w:rsidRPr="00AA0ABD">
        <w:rPr>
          <w:rFonts w:ascii="Averta" w:hAnsi="Averta"/>
          <w:color w:val="000000" w:themeColor="text1"/>
          <w:sz w:val="22"/>
          <w:szCs w:val="22"/>
        </w:rPr>
        <w:t>Por objeto del gasto;</w:t>
      </w:r>
      <w:r w:rsidRPr="00AA0ABD">
        <w:rPr>
          <w:rFonts w:ascii="Averta" w:hAnsi="Averta"/>
          <w:color w:val="000000" w:themeColor="text1"/>
          <w:sz w:val="22"/>
          <w:szCs w:val="22"/>
        </w:rPr>
        <w:t xml:space="preserve"> y</w:t>
      </w:r>
    </w:p>
    <w:p w14:paraId="2F07292A" w14:textId="77777777" w:rsidR="00F61D4B" w:rsidRPr="00AA0ABD" w:rsidRDefault="00F61D4B" w:rsidP="000866AE">
      <w:pPr>
        <w:pStyle w:val="Texto"/>
        <w:spacing w:after="0" w:line="240" w:lineRule="auto"/>
        <w:ind w:left="993" w:right="49" w:hanging="69"/>
        <w:rPr>
          <w:rFonts w:ascii="Averta" w:hAnsi="Averta"/>
          <w:color w:val="000000" w:themeColor="text1"/>
          <w:sz w:val="22"/>
          <w:szCs w:val="22"/>
        </w:rPr>
      </w:pPr>
      <w:r w:rsidRPr="00AA0ABD">
        <w:rPr>
          <w:rFonts w:ascii="Averta" w:hAnsi="Averta"/>
          <w:b/>
          <w:color w:val="000000" w:themeColor="text1"/>
          <w:sz w:val="22"/>
          <w:szCs w:val="22"/>
        </w:rPr>
        <w:t>4.</w:t>
      </w:r>
      <w:r w:rsidRPr="00AA0ABD">
        <w:rPr>
          <w:rFonts w:ascii="Averta" w:hAnsi="Averta"/>
          <w:b/>
          <w:color w:val="000000" w:themeColor="text1"/>
          <w:sz w:val="22"/>
          <w:szCs w:val="22"/>
        </w:rPr>
        <w:tab/>
      </w:r>
      <w:r w:rsidRPr="00AA0ABD">
        <w:rPr>
          <w:rFonts w:ascii="Averta" w:hAnsi="Averta"/>
          <w:color w:val="000000" w:themeColor="text1"/>
          <w:sz w:val="22"/>
          <w:szCs w:val="22"/>
        </w:rPr>
        <w:t>Funcional.</w:t>
      </w:r>
    </w:p>
    <w:p w14:paraId="40C2FB69" w14:textId="1DF6B613"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c)</w:t>
      </w:r>
      <w:r w:rsidR="00091E2B" w:rsidRPr="00AA0ABD">
        <w:rPr>
          <w:rFonts w:ascii="Averta" w:hAnsi="Averta"/>
          <w:color w:val="000000" w:themeColor="text1"/>
          <w:sz w:val="22"/>
          <w:szCs w:val="22"/>
        </w:rPr>
        <w:tab/>
        <w:t>Endeudamiento neto;</w:t>
      </w:r>
    </w:p>
    <w:p w14:paraId="1333CC1B" w14:textId="29101231"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d)</w:t>
      </w:r>
      <w:r w:rsidRPr="00AA0ABD">
        <w:rPr>
          <w:rFonts w:ascii="Averta" w:hAnsi="Averta"/>
          <w:color w:val="000000" w:themeColor="text1"/>
          <w:sz w:val="22"/>
          <w:szCs w:val="22"/>
        </w:rPr>
        <w:tab/>
      </w:r>
      <w:r w:rsidR="00091E2B" w:rsidRPr="00AA0ABD">
        <w:rPr>
          <w:rFonts w:ascii="Averta" w:hAnsi="Averta"/>
          <w:color w:val="000000" w:themeColor="text1"/>
          <w:sz w:val="22"/>
          <w:szCs w:val="22"/>
        </w:rPr>
        <w:t>Intereses de la deuda;</w:t>
      </w:r>
      <w:r w:rsidRPr="00AA0ABD">
        <w:rPr>
          <w:rFonts w:ascii="Averta" w:hAnsi="Averta"/>
          <w:color w:val="000000" w:themeColor="text1"/>
          <w:sz w:val="22"/>
          <w:szCs w:val="22"/>
        </w:rPr>
        <w:t xml:space="preserve"> </w:t>
      </w:r>
    </w:p>
    <w:p w14:paraId="4529DCEF" w14:textId="77777777"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e)</w:t>
      </w:r>
      <w:r w:rsidRPr="00AA0ABD">
        <w:rPr>
          <w:rFonts w:ascii="Averta" w:hAnsi="Averta"/>
          <w:color w:val="000000" w:themeColor="text1"/>
          <w:sz w:val="22"/>
          <w:szCs w:val="22"/>
        </w:rPr>
        <w:tab/>
        <w:t>Flujo de fondos; e</w:t>
      </w:r>
    </w:p>
    <w:p w14:paraId="720D8E58" w14:textId="30F6B865" w:rsidR="00F61D4B" w:rsidRPr="00AA0ABD" w:rsidRDefault="00E346FC"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 xml:space="preserve">f)    </w:t>
      </w:r>
      <w:r w:rsidR="00F61D4B" w:rsidRPr="00AA0ABD">
        <w:rPr>
          <w:rFonts w:ascii="Averta" w:hAnsi="Averta"/>
          <w:color w:val="000000" w:themeColor="text1"/>
          <w:sz w:val="22"/>
          <w:szCs w:val="22"/>
        </w:rPr>
        <w:t>Indicadores de la postura fiscal.</w:t>
      </w:r>
    </w:p>
    <w:p w14:paraId="0D1AB7CA" w14:textId="77777777" w:rsidR="00F61D4B" w:rsidRPr="00AA0ABD" w:rsidRDefault="00F61D4B" w:rsidP="003A05F7">
      <w:pPr>
        <w:pStyle w:val="Texto"/>
        <w:spacing w:after="0" w:line="240" w:lineRule="auto"/>
        <w:ind w:firstLine="0"/>
        <w:rPr>
          <w:rFonts w:ascii="Averta" w:hAnsi="Averta"/>
          <w:color w:val="000000" w:themeColor="text1"/>
          <w:sz w:val="22"/>
          <w:szCs w:val="22"/>
        </w:rPr>
      </w:pPr>
    </w:p>
    <w:p w14:paraId="55097090" w14:textId="77777777" w:rsidR="00F61D4B" w:rsidRPr="00AA0ABD" w:rsidRDefault="00F61D4B" w:rsidP="000866AE">
      <w:pPr>
        <w:pStyle w:val="Default"/>
        <w:numPr>
          <w:ilvl w:val="0"/>
          <w:numId w:val="7"/>
        </w:numPr>
        <w:ind w:left="426" w:right="49"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Información programática (LGCG Artículo 46 fracción III):</w:t>
      </w:r>
    </w:p>
    <w:p w14:paraId="66301648" w14:textId="77777777"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a)</w:t>
      </w:r>
      <w:r w:rsidRPr="00AA0ABD">
        <w:rPr>
          <w:rFonts w:ascii="Averta" w:hAnsi="Averta"/>
          <w:color w:val="000000" w:themeColor="text1"/>
          <w:sz w:val="22"/>
          <w:szCs w:val="22"/>
        </w:rPr>
        <w:tab/>
        <w:t>Gasto por categoría programática;</w:t>
      </w:r>
    </w:p>
    <w:p w14:paraId="5DD3BD6B" w14:textId="1AC6EFB1"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b)</w:t>
      </w:r>
      <w:r w:rsidRPr="00AA0ABD">
        <w:rPr>
          <w:rFonts w:ascii="Averta" w:hAnsi="Averta"/>
          <w:b/>
          <w:color w:val="000000" w:themeColor="text1"/>
          <w:sz w:val="22"/>
          <w:szCs w:val="22"/>
        </w:rPr>
        <w:tab/>
      </w:r>
      <w:r w:rsidRPr="00AA0ABD">
        <w:rPr>
          <w:rFonts w:ascii="Averta" w:hAnsi="Averta"/>
          <w:color w:val="000000" w:themeColor="text1"/>
          <w:sz w:val="22"/>
          <w:szCs w:val="22"/>
        </w:rPr>
        <w:t>Pro</w:t>
      </w:r>
      <w:r w:rsidR="00091E2B" w:rsidRPr="00AA0ABD">
        <w:rPr>
          <w:rFonts w:ascii="Averta" w:hAnsi="Averta"/>
          <w:color w:val="000000" w:themeColor="text1"/>
          <w:sz w:val="22"/>
          <w:szCs w:val="22"/>
        </w:rPr>
        <w:t>gramas y proyectos de inversión;</w:t>
      </w:r>
      <w:r w:rsidRPr="00AA0ABD">
        <w:rPr>
          <w:rFonts w:ascii="Averta" w:hAnsi="Averta"/>
          <w:color w:val="000000" w:themeColor="text1"/>
          <w:sz w:val="22"/>
          <w:szCs w:val="22"/>
        </w:rPr>
        <w:t xml:space="preserve"> y</w:t>
      </w:r>
    </w:p>
    <w:p w14:paraId="1F1695FA" w14:textId="77777777" w:rsidR="00F61D4B" w:rsidRPr="00AA0ABD" w:rsidRDefault="00F61D4B" w:rsidP="000866AE">
      <w:pPr>
        <w:pStyle w:val="Texto"/>
        <w:spacing w:after="0" w:line="240" w:lineRule="auto"/>
        <w:ind w:left="851" w:right="49" w:hanging="425"/>
        <w:rPr>
          <w:rFonts w:ascii="Averta" w:hAnsi="Averta"/>
          <w:color w:val="000000" w:themeColor="text1"/>
          <w:sz w:val="22"/>
          <w:szCs w:val="22"/>
        </w:rPr>
      </w:pPr>
      <w:r w:rsidRPr="00AA0ABD">
        <w:rPr>
          <w:rFonts w:ascii="Averta" w:hAnsi="Averta"/>
          <w:b/>
          <w:color w:val="000000" w:themeColor="text1"/>
          <w:sz w:val="22"/>
          <w:szCs w:val="22"/>
        </w:rPr>
        <w:t>c)</w:t>
      </w:r>
      <w:r w:rsidRPr="00AA0ABD">
        <w:rPr>
          <w:rFonts w:ascii="Averta" w:hAnsi="Averta"/>
          <w:color w:val="000000" w:themeColor="text1"/>
          <w:sz w:val="22"/>
          <w:szCs w:val="22"/>
        </w:rPr>
        <w:tab/>
        <w:t>Indicadores de resultados.</w:t>
      </w:r>
    </w:p>
    <w:p w14:paraId="40846512" w14:textId="77777777" w:rsidR="00F61D4B" w:rsidRPr="00AA0ABD" w:rsidRDefault="00F61D4B" w:rsidP="000866AE">
      <w:pPr>
        <w:pStyle w:val="Texto"/>
        <w:spacing w:after="0" w:line="240" w:lineRule="auto"/>
        <w:ind w:left="709" w:right="49" w:hanging="283"/>
        <w:rPr>
          <w:rFonts w:ascii="Averta" w:hAnsi="Averta"/>
          <w:color w:val="000000" w:themeColor="text1"/>
          <w:sz w:val="22"/>
          <w:szCs w:val="22"/>
        </w:rPr>
      </w:pPr>
    </w:p>
    <w:p w14:paraId="322647CB" w14:textId="77777777" w:rsidR="00F61D4B" w:rsidRPr="00AA0ABD" w:rsidRDefault="00F61D4B" w:rsidP="000866AE">
      <w:pPr>
        <w:pStyle w:val="Default"/>
        <w:spacing w:after="200"/>
        <w:ind w:left="426" w:right="49" w:hanging="426"/>
        <w:jc w:val="both"/>
        <w:rPr>
          <w:rFonts w:ascii="Averta" w:hAnsi="Averta"/>
          <w:color w:val="000000" w:themeColor="text1"/>
          <w:sz w:val="22"/>
          <w:szCs w:val="22"/>
        </w:rPr>
      </w:pPr>
      <w:r w:rsidRPr="00AA0ABD">
        <w:rPr>
          <w:rFonts w:ascii="Averta" w:hAnsi="Averta"/>
          <w:b/>
          <w:color w:val="000000" w:themeColor="text1"/>
          <w:sz w:val="22"/>
          <w:szCs w:val="22"/>
        </w:rPr>
        <w:t>IV.</w:t>
      </w:r>
      <w:r w:rsidRPr="00AA0ABD">
        <w:rPr>
          <w:rFonts w:ascii="Averta" w:hAnsi="Averta"/>
          <w:color w:val="000000" w:themeColor="text1"/>
          <w:sz w:val="22"/>
          <w:szCs w:val="22"/>
        </w:rPr>
        <w:tab/>
        <w:t>Información complementaria.</w:t>
      </w:r>
    </w:p>
    <w:p w14:paraId="02336DAF" w14:textId="77777777" w:rsidR="00F61D4B" w:rsidRPr="00AA0ABD" w:rsidRDefault="00F61D4B" w:rsidP="000866AE">
      <w:pPr>
        <w:pStyle w:val="Ttulo1"/>
        <w:tabs>
          <w:tab w:val="left" w:pos="567"/>
        </w:tabs>
        <w:ind w:right="49"/>
        <w:jc w:val="both"/>
        <w:rPr>
          <w:rFonts w:ascii="Averta" w:hAnsi="Averta" w:cs="Tahoma"/>
          <w:b w:val="0"/>
          <w:color w:val="000000" w:themeColor="text1"/>
          <w:sz w:val="22"/>
          <w:szCs w:val="22"/>
          <w:lang w:val="es-MX"/>
        </w:rPr>
      </w:pPr>
      <w:r w:rsidRPr="00AA0ABD">
        <w:rPr>
          <w:rFonts w:ascii="Averta" w:hAnsi="Averta"/>
          <w:color w:val="000000" w:themeColor="text1"/>
          <w:sz w:val="22"/>
          <w:szCs w:val="22"/>
        </w:rPr>
        <w:t>6.3.</w:t>
      </w:r>
      <w:r w:rsidRPr="00AA0ABD">
        <w:rPr>
          <w:rFonts w:ascii="Averta" w:hAnsi="Averta"/>
          <w:color w:val="000000" w:themeColor="text1"/>
          <w:sz w:val="22"/>
          <w:szCs w:val="22"/>
        </w:rPr>
        <w:tab/>
        <w:t>Lineamientos específicos para la integración de la Cuenta Pública Estatal:</w:t>
      </w:r>
    </w:p>
    <w:p w14:paraId="4ADA283B" w14:textId="77777777" w:rsidR="000866AE" w:rsidRPr="00AA0ABD" w:rsidRDefault="000866AE" w:rsidP="000866AE">
      <w:pPr>
        <w:ind w:right="49"/>
        <w:rPr>
          <w:rFonts w:ascii="Averta" w:hAnsi="Averta" w:cs="Tahoma"/>
          <w:b/>
          <w:color w:val="000000" w:themeColor="text1"/>
          <w:sz w:val="22"/>
          <w:szCs w:val="22"/>
          <w:lang w:val="es-MX"/>
        </w:rPr>
      </w:pPr>
    </w:p>
    <w:p w14:paraId="42DD321C" w14:textId="141A2A6C" w:rsidR="00F61D4B" w:rsidRPr="00AA0ABD" w:rsidRDefault="00F61D4B" w:rsidP="000866AE">
      <w:pPr>
        <w:ind w:right="49"/>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 xml:space="preserve">Objeto. </w:t>
      </w:r>
    </w:p>
    <w:p w14:paraId="3AD83B5C" w14:textId="77777777" w:rsidR="00F61D4B" w:rsidRPr="00AA0ABD" w:rsidRDefault="00F61D4B" w:rsidP="000866AE">
      <w:pPr>
        <w:spacing w:after="200"/>
        <w:ind w:right="49"/>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Los presentes lineamientos tienen por objeto establecer el ámbito de aplicación, la información a proporcionar, así como los mecanismos de coordinación para la integración de la Cuenta Pública Estatal. </w:t>
      </w:r>
    </w:p>
    <w:p w14:paraId="146A0D8B" w14:textId="77777777" w:rsidR="00F61D4B" w:rsidRPr="00AA0ABD" w:rsidRDefault="00F61D4B" w:rsidP="000866AE">
      <w:pPr>
        <w:ind w:right="49"/>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 xml:space="preserve">Ámbito de aplicación. </w:t>
      </w:r>
    </w:p>
    <w:p w14:paraId="43964E29" w14:textId="489DF2BF" w:rsidR="00F61D4B" w:rsidRPr="00AA0ABD" w:rsidRDefault="00F61D4B" w:rsidP="000866AE">
      <w:pPr>
        <w:spacing w:after="200"/>
        <w:ind w:right="49"/>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Serán aplicables para los Poderes Ejecutivo, Legislativo y Judicial, los Órganos </w:t>
      </w:r>
      <w:r w:rsidR="0046150E" w:rsidRPr="00AA0ABD">
        <w:rPr>
          <w:rFonts w:ascii="Averta" w:hAnsi="Averta" w:cs="Tahoma"/>
          <w:color w:val="000000" w:themeColor="text1"/>
          <w:sz w:val="22"/>
          <w:szCs w:val="22"/>
          <w:lang w:val="es-MX"/>
        </w:rPr>
        <w:t xml:space="preserve">Públicos </w:t>
      </w:r>
      <w:r w:rsidRPr="00AA0ABD">
        <w:rPr>
          <w:rFonts w:ascii="Averta" w:hAnsi="Averta" w:cs="Tahoma"/>
          <w:color w:val="000000" w:themeColor="text1"/>
          <w:sz w:val="22"/>
          <w:szCs w:val="22"/>
          <w:lang w:val="es-MX"/>
        </w:rPr>
        <w:t>Autónomos del Estado y las Entidades de la Administración Pública Paraestatal.</w:t>
      </w:r>
    </w:p>
    <w:p w14:paraId="7BF53222" w14:textId="77777777" w:rsidR="00F61D4B" w:rsidRPr="00AA0ABD" w:rsidRDefault="00F61D4B" w:rsidP="000866AE">
      <w:pPr>
        <w:pStyle w:val="Subttulo"/>
        <w:ind w:right="49"/>
        <w:jc w:val="left"/>
        <w:rPr>
          <w:rFonts w:ascii="Averta" w:eastAsiaTheme="majorEastAsia" w:hAnsi="Averta" w:cstheme="majorBidi"/>
          <w:bCs/>
          <w:color w:val="000000" w:themeColor="text1"/>
          <w:sz w:val="22"/>
          <w:szCs w:val="22"/>
          <w:lang w:eastAsia="es-MX"/>
        </w:rPr>
      </w:pPr>
      <w:r w:rsidRPr="00AA0ABD">
        <w:rPr>
          <w:rFonts w:ascii="Averta" w:eastAsiaTheme="majorEastAsia" w:hAnsi="Averta" w:cstheme="majorBidi"/>
          <w:bCs/>
          <w:color w:val="000000" w:themeColor="text1"/>
          <w:sz w:val="22"/>
          <w:szCs w:val="22"/>
          <w:lang w:eastAsia="es-MX"/>
        </w:rPr>
        <w:lastRenderedPageBreak/>
        <w:t>6.3.1.</w:t>
      </w:r>
      <w:r w:rsidRPr="00AA0ABD">
        <w:rPr>
          <w:rFonts w:ascii="Averta" w:eastAsiaTheme="majorEastAsia" w:hAnsi="Averta" w:cstheme="majorBidi"/>
          <w:bCs/>
          <w:color w:val="000000" w:themeColor="text1"/>
          <w:sz w:val="22"/>
          <w:szCs w:val="22"/>
          <w:lang w:eastAsia="es-MX"/>
        </w:rPr>
        <w:tab/>
        <w:t>Información a proporcionar.</w:t>
      </w:r>
    </w:p>
    <w:p w14:paraId="08912C3B" w14:textId="77777777" w:rsidR="00F61D4B" w:rsidRPr="00AA0ABD" w:rsidRDefault="00F61D4B" w:rsidP="000866AE">
      <w:pPr>
        <w:ind w:right="49"/>
        <w:jc w:val="both"/>
        <w:rPr>
          <w:rFonts w:ascii="Averta" w:hAnsi="Averta" w:cs="Tahoma"/>
          <w:b/>
          <w:color w:val="000000" w:themeColor="text1"/>
          <w:sz w:val="22"/>
          <w:szCs w:val="22"/>
          <w:lang w:val="es-MX"/>
        </w:rPr>
      </w:pPr>
    </w:p>
    <w:p w14:paraId="445A79DF" w14:textId="35ECFB9E" w:rsidR="00F61D4B" w:rsidRPr="00AA0ABD" w:rsidRDefault="00F61D4B" w:rsidP="000866AE">
      <w:pPr>
        <w:tabs>
          <w:tab w:val="left" w:pos="709"/>
        </w:tabs>
        <w:ind w:right="49"/>
        <w:jc w:val="both"/>
        <w:rPr>
          <w:rFonts w:ascii="Averta" w:hAnsi="Averta" w:cs="Tahoma"/>
          <w:color w:val="000000" w:themeColor="text1"/>
          <w:sz w:val="22"/>
          <w:szCs w:val="22"/>
          <w:lang w:val="es-MX" w:eastAsia="es-MX"/>
        </w:rPr>
      </w:pPr>
      <w:r w:rsidRPr="00AA0ABD">
        <w:rPr>
          <w:rFonts w:ascii="Averta" w:eastAsiaTheme="majorEastAsia" w:hAnsi="Averta" w:cstheme="majorBidi"/>
          <w:b/>
          <w:bCs/>
          <w:color w:val="000000" w:themeColor="text1"/>
          <w:sz w:val="22"/>
          <w:szCs w:val="22"/>
          <w:lang w:eastAsia="es-MX"/>
        </w:rPr>
        <w:t>6.3.1.1.</w:t>
      </w:r>
      <w:r w:rsidRPr="00AA0ABD">
        <w:rPr>
          <w:rFonts w:ascii="Averta" w:hAnsi="Averta" w:cs="Tahoma"/>
          <w:color w:val="000000" w:themeColor="text1"/>
          <w:sz w:val="22"/>
          <w:szCs w:val="22"/>
          <w:lang w:val="es-MX"/>
        </w:rPr>
        <w:tab/>
      </w:r>
      <w:r w:rsidRPr="00AA0ABD">
        <w:rPr>
          <w:rFonts w:ascii="Averta" w:hAnsi="Averta" w:cs="Tahoma"/>
          <w:b/>
          <w:color w:val="000000" w:themeColor="text1"/>
          <w:sz w:val="22"/>
          <w:szCs w:val="22"/>
          <w:lang w:val="es-MX"/>
        </w:rPr>
        <w:t>La Cuenta Pública contendrá la información contable, presupuestal, programática y anexos de acuerdo a lo señalado en la LGCG</w:t>
      </w:r>
      <w:r w:rsidR="001575ED" w:rsidRPr="00AA0ABD">
        <w:rPr>
          <w:rFonts w:ascii="Averta" w:hAnsi="Averta" w:cs="Tahoma"/>
          <w:b/>
          <w:color w:val="000000" w:themeColor="text1"/>
          <w:sz w:val="22"/>
          <w:szCs w:val="22"/>
          <w:lang w:val="es-MX"/>
        </w:rPr>
        <w:t>.</w:t>
      </w:r>
      <w:r w:rsidR="001575ED" w:rsidRPr="00AA0ABD">
        <w:rPr>
          <w:rFonts w:ascii="Averta" w:hAnsi="Averta" w:cs="Tahoma"/>
          <w:color w:val="000000" w:themeColor="text1"/>
          <w:sz w:val="22"/>
          <w:szCs w:val="22"/>
          <w:lang w:val="es-MX"/>
        </w:rPr>
        <w:t xml:space="preserve"> </w:t>
      </w:r>
      <w:r w:rsidRPr="00AA0ABD">
        <w:rPr>
          <w:rFonts w:ascii="Averta" w:hAnsi="Averta" w:cs="Tahoma"/>
          <w:color w:val="000000" w:themeColor="text1"/>
          <w:sz w:val="22"/>
          <w:szCs w:val="22"/>
          <w:lang w:val="es-MX"/>
        </w:rPr>
        <w:t xml:space="preserve">Acuerdo por el que se armoniza la estructura de las cuentas públicas y la Norma en materia de consolidación de Estados Financieros y demás información contable. Adicionalmente, la información que se señale la Ley de Disciplina Financiera de las Entidades Federativas y </w:t>
      </w:r>
      <w:r w:rsidRPr="00AA0ABD">
        <w:rPr>
          <w:rFonts w:ascii="Averta" w:hAnsi="Averta" w:cs="Tahoma"/>
          <w:color w:val="000000" w:themeColor="text1"/>
          <w:sz w:val="22"/>
          <w:szCs w:val="22"/>
          <w:lang w:val="es-MX" w:eastAsia="es-MX"/>
        </w:rPr>
        <w:t xml:space="preserve">los </w:t>
      </w:r>
      <w:r w:rsidRPr="00AA0ABD">
        <w:rPr>
          <w:rFonts w:ascii="Averta" w:hAnsi="Averta" w:cs="Tahoma"/>
          <w:color w:val="000000" w:themeColor="text1"/>
          <w:sz w:val="22"/>
          <w:szCs w:val="22"/>
          <w:lang w:val="es-MX"/>
        </w:rPr>
        <w:t xml:space="preserve">Municipios, </w:t>
      </w:r>
      <w:r w:rsidRPr="00AA0ABD">
        <w:rPr>
          <w:rFonts w:ascii="Averta" w:hAnsi="Averta" w:cs="Tahoma"/>
          <w:color w:val="000000" w:themeColor="text1"/>
          <w:sz w:val="22"/>
          <w:szCs w:val="22"/>
          <w:lang w:val="es-MX" w:eastAsia="es-MX"/>
        </w:rPr>
        <w:t>así como los formatos de los Criterios para la elaboración y presentación homogénea de la información financiera y de los formatos a que hace referencia la Ley</w:t>
      </w:r>
      <w:r w:rsidR="00BF4C6B" w:rsidRPr="00AA0ABD">
        <w:rPr>
          <w:rFonts w:ascii="Averta" w:hAnsi="Averta" w:cs="Tahoma"/>
          <w:color w:val="000000" w:themeColor="text1"/>
          <w:sz w:val="22"/>
          <w:szCs w:val="22"/>
          <w:lang w:val="es-MX" w:eastAsia="es-MX"/>
        </w:rPr>
        <w:t xml:space="preserve"> antes citada</w:t>
      </w:r>
      <w:r w:rsidR="000866AE" w:rsidRPr="00AA0ABD">
        <w:rPr>
          <w:rFonts w:ascii="Averta" w:hAnsi="Averta" w:cs="Tahoma"/>
          <w:color w:val="000000" w:themeColor="text1"/>
          <w:sz w:val="22"/>
          <w:szCs w:val="22"/>
          <w:lang w:val="es-MX" w:eastAsia="es-MX"/>
        </w:rPr>
        <w:t>.</w:t>
      </w:r>
    </w:p>
    <w:p w14:paraId="5E0240D1" w14:textId="77777777" w:rsidR="00F61D4B" w:rsidRPr="00AA0ABD" w:rsidRDefault="00F61D4B" w:rsidP="000866AE">
      <w:pPr>
        <w:ind w:right="49"/>
        <w:jc w:val="both"/>
        <w:rPr>
          <w:rFonts w:ascii="Averta" w:hAnsi="Averta" w:cs="Tahoma"/>
          <w:color w:val="000000" w:themeColor="text1"/>
          <w:sz w:val="22"/>
          <w:szCs w:val="22"/>
          <w:lang w:val="es-MX"/>
        </w:rPr>
      </w:pPr>
    </w:p>
    <w:p w14:paraId="177D85D8" w14:textId="77777777" w:rsidR="00F61D4B" w:rsidRPr="00AA0ABD" w:rsidRDefault="00F61D4B" w:rsidP="000866AE">
      <w:pPr>
        <w:numPr>
          <w:ilvl w:val="0"/>
          <w:numId w:val="10"/>
        </w:numPr>
        <w:ind w:left="426" w:right="49" w:hanging="426"/>
        <w:jc w:val="both"/>
        <w:rPr>
          <w:rFonts w:ascii="Averta" w:hAnsi="Averta" w:cs="Tahoma"/>
          <w:color w:val="000000" w:themeColor="text1"/>
          <w:sz w:val="22"/>
          <w:szCs w:val="22"/>
          <w:lang w:val="es-MX"/>
        </w:rPr>
      </w:pPr>
      <w:r w:rsidRPr="00AA0ABD">
        <w:rPr>
          <w:rFonts w:ascii="Averta" w:hAnsi="Averta" w:cs="Tahoma"/>
          <w:b/>
          <w:color w:val="000000" w:themeColor="text1"/>
          <w:sz w:val="22"/>
          <w:szCs w:val="22"/>
          <w:lang w:val="es-MX"/>
        </w:rPr>
        <w:t xml:space="preserve">Introducción. </w:t>
      </w:r>
      <w:r w:rsidRPr="00AA0ABD">
        <w:rPr>
          <w:rFonts w:ascii="Averta" w:hAnsi="Averta" w:cs="Tahoma"/>
          <w:color w:val="000000" w:themeColor="text1"/>
          <w:sz w:val="22"/>
          <w:szCs w:val="22"/>
          <w:lang w:val="es-MX"/>
        </w:rPr>
        <w:t xml:space="preserve">Información del Ente Público como objeto, misión, visión y otros aspectos que se consideren relevantes; </w:t>
      </w:r>
    </w:p>
    <w:p w14:paraId="458462DF" w14:textId="77777777" w:rsidR="00F61D4B" w:rsidRPr="00AA0ABD" w:rsidRDefault="00F61D4B" w:rsidP="000866AE">
      <w:pPr>
        <w:ind w:left="426" w:right="49" w:hanging="426"/>
        <w:jc w:val="both"/>
        <w:rPr>
          <w:rFonts w:ascii="Averta" w:hAnsi="Averta" w:cs="Tahoma"/>
          <w:b/>
          <w:color w:val="000000" w:themeColor="text1"/>
          <w:sz w:val="22"/>
          <w:szCs w:val="22"/>
          <w:lang w:val="es-MX"/>
        </w:rPr>
      </w:pPr>
    </w:p>
    <w:p w14:paraId="02D1CFB8" w14:textId="77777777" w:rsidR="00F61D4B" w:rsidRPr="00AA0ABD" w:rsidRDefault="00F61D4B" w:rsidP="000866AE">
      <w:pPr>
        <w:numPr>
          <w:ilvl w:val="0"/>
          <w:numId w:val="10"/>
        </w:numPr>
        <w:ind w:left="426" w:right="49" w:hanging="426"/>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Información Contable:</w:t>
      </w:r>
    </w:p>
    <w:p w14:paraId="461A7CFE" w14:textId="14AE24D4" w:rsidR="00F61D4B" w:rsidRPr="00AA0ABD" w:rsidRDefault="002C7927"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Estado de A</w:t>
      </w:r>
      <w:r w:rsidR="00F61D4B" w:rsidRPr="00AA0ABD">
        <w:rPr>
          <w:rFonts w:ascii="Averta" w:hAnsi="Averta" w:cs="Tahoma"/>
          <w:color w:val="000000" w:themeColor="text1"/>
          <w:sz w:val="22"/>
          <w:szCs w:val="22"/>
          <w:lang w:val="es-MX"/>
        </w:rPr>
        <w:t xml:space="preserve">ctividades (Anexo </w:t>
      </w:r>
      <w:r w:rsidR="00E157F4" w:rsidRPr="00AA0ABD">
        <w:rPr>
          <w:rFonts w:ascii="Averta" w:hAnsi="Averta" w:cs="Tahoma"/>
          <w:color w:val="000000" w:themeColor="text1"/>
          <w:sz w:val="22"/>
          <w:szCs w:val="22"/>
          <w:lang w:val="es-MX"/>
        </w:rPr>
        <w:t>101</w:t>
      </w:r>
      <w:r w:rsidR="00F61D4B" w:rsidRPr="00AA0ABD">
        <w:rPr>
          <w:rFonts w:ascii="Averta" w:hAnsi="Averta" w:cs="Tahoma"/>
          <w:color w:val="000000" w:themeColor="text1"/>
          <w:sz w:val="22"/>
          <w:szCs w:val="22"/>
          <w:lang w:val="es-MX"/>
        </w:rPr>
        <w:t>);</w:t>
      </w:r>
    </w:p>
    <w:p w14:paraId="0139EA21" w14:textId="6F839C4F" w:rsidR="00F61D4B" w:rsidRPr="00AA0ABD" w:rsidRDefault="00F61D4B"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de </w:t>
      </w:r>
      <w:r w:rsidR="0023700A" w:rsidRPr="00AA0ABD">
        <w:rPr>
          <w:rFonts w:ascii="Averta" w:hAnsi="Averta" w:cs="Tahoma"/>
          <w:color w:val="000000" w:themeColor="text1"/>
          <w:sz w:val="22"/>
          <w:szCs w:val="22"/>
          <w:lang w:val="es-MX"/>
        </w:rPr>
        <w:t xml:space="preserve">Situación Financiera </w:t>
      </w:r>
      <w:r w:rsidRPr="00AA0ABD">
        <w:rPr>
          <w:rFonts w:ascii="Averta" w:hAnsi="Averta" w:cs="Tahoma"/>
          <w:color w:val="000000" w:themeColor="text1"/>
          <w:sz w:val="22"/>
          <w:szCs w:val="22"/>
          <w:lang w:val="es-MX"/>
        </w:rPr>
        <w:t xml:space="preserve">(Anexo </w:t>
      </w:r>
      <w:r w:rsidR="00E157F4" w:rsidRPr="00AA0ABD">
        <w:rPr>
          <w:rFonts w:ascii="Averta" w:hAnsi="Averta" w:cs="Tahoma"/>
          <w:color w:val="000000" w:themeColor="text1"/>
          <w:sz w:val="22"/>
          <w:szCs w:val="22"/>
          <w:lang w:val="es-MX"/>
        </w:rPr>
        <w:t>102</w:t>
      </w:r>
      <w:r w:rsidR="0023700A" w:rsidRPr="00AA0ABD">
        <w:rPr>
          <w:rFonts w:ascii="Averta" w:hAnsi="Averta" w:cs="Tahoma"/>
          <w:color w:val="000000" w:themeColor="text1"/>
          <w:sz w:val="22"/>
          <w:szCs w:val="22"/>
          <w:lang w:val="es-MX"/>
        </w:rPr>
        <w:t>)</w:t>
      </w:r>
      <w:r w:rsidR="000866AE" w:rsidRPr="00AA0ABD">
        <w:rPr>
          <w:rFonts w:ascii="Averta" w:hAnsi="Averta" w:cs="Tahoma"/>
          <w:color w:val="000000" w:themeColor="text1"/>
          <w:sz w:val="22"/>
          <w:szCs w:val="22"/>
          <w:lang w:val="es-MX"/>
        </w:rPr>
        <w:t>;</w:t>
      </w:r>
    </w:p>
    <w:p w14:paraId="25D7B3E7" w14:textId="0072CAB7" w:rsidR="00F61D4B" w:rsidRPr="00AA0ABD" w:rsidRDefault="00F61D4B"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de </w:t>
      </w:r>
      <w:r w:rsidR="0023700A" w:rsidRPr="00AA0ABD">
        <w:rPr>
          <w:rFonts w:ascii="Averta" w:hAnsi="Averta" w:cs="Tahoma"/>
          <w:color w:val="000000" w:themeColor="text1"/>
          <w:sz w:val="22"/>
          <w:szCs w:val="22"/>
          <w:lang w:val="es-MX"/>
        </w:rPr>
        <w:t>Variación</w:t>
      </w:r>
      <w:r w:rsidRPr="00AA0ABD">
        <w:rPr>
          <w:rFonts w:ascii="Averta" w:hAnsi="Averta" w:cs="Tahoma"/>
          <w:color w:val="000000" w:themeColor="text1"/>
          <w:sz w:val="22"/>
          <w:szCs w:val="22"/>
          <w:lang w:val="es-MX"/>
        </w:rPr>
        <w:t xml:space="preserve"> en la </w:t>
      </w:r>
      <w:r w:rsidR="0023700A" w:rsidRPr="00AA0ABD">
        <w:rPr>
          <w:rFonts w:ascii="Averta" w:hAnsi="Averta" w:cs="Tahoma"/>
          <w:color w:val="000000" w:themeColor="text1"/>
          <w:sz w:val="22"/>
          <w:szCs w:val="22"/>
          <w:lang w:val="es-MX"/>
        </w:rPr>
        <w:t xml:space="preserve">Hacienda Pública </w:t>
      </w:r>
      <w:r w:rsidRPr="00AA0ABD">
        <w:rPr>
          <w:rFonts w:ascii="Averta" w:hAnsi="Averta" w:cs="Tahoma"/>
          <w:color w:val="000000" w:themeColor="text1"/>
          <w:sz w:val="22"/>
          <w:szCs w:val="22"/>
          <w:lang w:val="es-MX"/>
        </w:rPr>
        <w:t xml:space="preserve">(Anexo </w:t>
      </w:r>
      <w:r w:rsidR="00E157F4" w:rsidRPr="00AA0ABD">
        <w:rPr>
          <w:rFonts w:ascii="Averta" w:hAnsi="Averta" w:cs="Tahoma"/>
          <w:color w:val="000000" w:themeColor="text1"/>
          <w:sz w:val="22"/>
          <w:szCs w:val="22"/>
          <w:lang w:val="es-MX"/>
        </w:rPr>
        <w:t>103</w:t>
      </w:r>
      <w:r w:rsidRPr="00AA0ABD">
        <w:rPr>
          <w:rFonts w:ascii="Averta" w:hAnsi="Averta" w:cs="Tahoma"/>
          <w:color w:val="000000" w:themeColor="text1"/>
          <w:sz w:val="22"/>
          <w:szCs w:val="22"/>
          <w:lang w:val="es-MX"/>
        </w:rPr>
        <w:t>);</w:t>
      </w:r>
    </w:p>
    <w:p w14:paraId="5F1D7C6F" w14:textId="2C453E7C" w:rsidR="00F61D4B" w:rsidRPr="00AA0ABD" w:rsidRDefault="00F61D4B"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de </w:t>
      </w:r>
      <w:r w:rsidR="00506F7F" w:rsidRPr="00AA0ABD">
        <w:rPr>
          <w:rFonts w:ascii="Averta" w:hAnsi="Averta" w:cs="Tahoma"/>
          <w:color w:val="000000" w:themeColor="text1"/>
          <w:sz w:val="22"/>
          <w:szCs w:val="22"/>
          <w:lang w:val="es-MX"/>
        </w:rPr>
        <w:t>C</w:t>
      </w:r>
      <w:r w:rsidRPr="00AA0ABD">
        <w:rPr>
          <w:rFonts w:ascii="Averta" w:hAnsi="Averta" w:cs="Tahoma"/>
          <w:color w:val="000000" w:themeColor="text1"/>
          <w:sz w:val="22"/>
          <w:szCs w:val="22"/>
          <w:lang w:val="es-MX"/>
        </w:rPr>
        <w:t xml:space="preserve">ambios en la </w:t>
      </w:r>
      <w:r w:rsidR="0023700A" w:rsidRPr="00AA0ABD">
        <w:rPr>
          <w:rFonts w:ascii="Averta" w:hAnsi="Averta" w:cs="Tahoma"/>
          <w:color w:val="000000" w:themeColor="text1"/>
          <w:sz w:val="22"/>
          <w:szCs w:val="22"/>
          <w:lang w:val="es-MX"/>
        </w:rPr>
        <w:t xml:space="preserve">Situación Financiera </w:t>
      </w:r>
      <w:r w:rsidRPr="00AA0ABD">
        <w:rPr>
          <w:rFonts w:ascii="Averta" w:hAnsi="Averta" w:cs="Tahoma"/>
          <w:color w:val="000000" w:themeColor="text1"/>
          <w:sz w:val="22"/>
          <w:szCs w:val="22"/>
          <w:lang w:val="es-MX"/>
        </w:rPr>
        <w:t xml:space="preserve">(Anexo </w:t>
      </w:r>
      <w:r w:rsidR="00E157F4" w:rsidRPr="00AA0ABD">
        <w:rPr>
          <w:rFonts w:ascii="Averta" w:hAnsi="Averta" w:cs="Tahoma"/>
          <w:color w:val="000000" w:themeColor="text1"/>
          <w:sz w:val="22"/>
          <w:szCs w:val="22"/>
          <w:lang w:val="es-MX"/>
        </w:rPr>
        <w:t>104</w:t>
      </w:r>
      <w:r w:rsidRPr="00AA0ABD">
        <w:rPr>
          <w:rFonts w:ascii="Averta" w:hAnsi="Averta" w:cs="Tahoma"/>
          <w:color w:val="000000" w:themeColor="text1"/>
          <w:sz w:val="22"/>
          <w:szCs w:val="22"/>
          <w:lang w:val="es-MX"/>
        </w:rPr>
        <w:t>);</w:t>
      </w:r>
    </w:p>
    <w:p w14:paraId="093B99AA" w14:textId="02AAC104" w:rsidR="00F61D4B" w:rsidRPr="00AA0ABD" w:rsidRDefault="00F61D4B"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de </w:t>
      </w:r>
      <w:r w:rsidR="0023700A" w:rsidRPr="00AA0ABD">
        <w:rPr>
          <w:rFonts w:ascii="Averta" w:hAnsi="Averta" w:cs="Tahoma"/>
          <w:color w:val="000000" w:themeColor="text1"/>
          <w:sz w:val="22"/>
          <w:szCs w:val="22"/>
          <w:lang w:val="es-MX"/>
        </w:rPr>
        <w:t>F</w:t>
      </w:r>
      <w:r w:rsidRPr="00AA0ABD">
        <w:rPr>
          <w:rFonts w:ascii="Averta" w:hAnsi="Averta" w:cs="Tahoma"/>
          <w:color w:val="000000" w:themeColor="text1"/>
          <w:sz w:val="22"/>
          <w:szCs w:val="22"/>
          <w:lang w:val="es-MX"/>
        </w:rPr>
        <w:t xml:space="preserve">lujos de </w:t>
      </w:r>
      <w:r w:rsidR="0023700A"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fectivo (Anexo </w:t>
      </w:r>
      <w:r w:rsidR="00E157F4" w:rsidRPr="00AA0ABD">
        <w:rPr>
          <w:rFonts w:ascii="Averta" w:hAnsi="Averta" w:cs="Tahoma"/>
          <w:color w:val="000000" w:themeColor="text1"/>
          <w:sz w:val="22"/>
          <w:szCs w:val="22"/>
          <w:lang w:val="es-MX"/>
        </w:rPr>
        <w:t>105</w:t>
      </w:r>
      <w:r w:rsidRPr="00AA0ABD">
        <w:rPr>
          <w:rFonts w:ascii="Averta" w:hAnsi="Averta" w:cs="Tahoma"/>
          <w:color w:val="000000" w:themeColor="text1"/>
          <w:sz w:val="22"/>
          <w:szCs w:val="22"/>
          <w:lang w:val="es-MX"/>
        </w:rPr>
        <w:t>);</w:t>
      </w:r>
    </w:p>
    <w:p w14:paraId="4E82B6C5" w14:textId="45450528" w:rsidR="00F61D4B" w:rsidRPr="00AA0ABD" w:rsidRDefault="00F61D4B" w:rsidP="000866AE">
      <w:pPr>
        <w:pStyle w:val="Prrafodelista"/>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Informe sobr</w:t>
      </w:r>
      <w:r w:rsidR="0023700A" w:rsidRPr="00AA0ABD">
        <w:rPr>
          <w:rFonts w:ascii="Averta" w:hAnsi="Averta" w:cs="Tahoma"/>
          <w:color w:val="000000" w:themeColor="text1"/>
          <w:sz w:val="22"/>
          <w:szCs w:val="22"/>
          <w:lang w:val="es-MX"/>
        </w:rPr>
        <w:t xml:space="preserve">e Pasivos </w:t>
      </w:r>
      <w:bookmarkStart w:id="3" w:name="_GoBack"/>
      <w:bookmarkEnd w:id="3"/>
      <w:r w:rsidR="0023700A" w:rsidRPr="00AA0ABD">
        <w:rPr>
          <w:rFonts w:ascii="Averta" w:hAnsi="Averta" w:cs="Tahoma"/>
          <w:color w:val="000000" w:themeColor="text1"/>
          <w:sz w:val="22"/>
          <w:szCs w:val="22"/>
          <w:lang w:val="es-MX"/>
        </w:rPr>
        <w:t xml:space="preserve">Contingentes (Anexo </w:t>
      </w:r>
      <w:r w:rsidR="00E157F4" w:rsidRPr="00AA0ABD">
        <w:rPr>
          <w:rFonts w:ascii="Averta" w:hAnsi="Averta" w:cs="Tahoma"/>
          <w:color w:val="000000" w:themeColor="text1"/>
          <w:sz w:val="22"/>
          <w:szCs w:val="22"/>
          <w:lang w:val="es-MX"/>
        </w:rPr>
        <w:t>106</w:t>
      </w:r>
      <w:r w:rsidRPr="00AA0ABD">
        <w:rPr>
          <w:rFonts w:ascii="Averta" w:hAnsi="Averta" w:cs="Tahoma"/>
          <w:color w:val="000000" w:themeColor="text1"/>
          <w:sz w:val="22"/>
          <w:szCs w:val="22"/>
          <w:lang w:val="es-MX"/>
        </w:rPr>
        <w:t>);</w:t>
      </w:r>
    </w:p>
    <w:p w14:paraId="3979EA34" w14:textId="35C14A06" w:rsidR="001E0465" w:rsidRPr="00AA0ABD" w:rsidRDefault="00F61D4B" w:rsidP="000866AE">
      <w:pPr>
        <w:pStyle w:val="Default"/>
        <w:numPr>
          <w:ilvl w:val="0"/>
          <w:numId w:val="16"/>
        </w:numPr>
        <w:ind w:left="709" w:right="49"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Nota</w:t>
      </w:r>
      <w:r w:rsidR="008F7CD0" w:rsidRPr="00AA0ABD">
        <w:rPr>
          <w:rFonts w:ascii="Averta" w:hAnsi="Averta" w:cs="Tahoma"/>
          <w:color w:val="000000" w:themeColor="text1"/>
          <w:sz w:val="22"/>
          <w:szCs w:val="22"/>
          <w:lang w:val="es-MX"/>
        </w:rPr>
        <w:t>s</w:t>
      </w:r>
      <w:r w:rsidRPr="00AA0ABD">
        <w:rPr>
          <w:rFonts w:ascii="Averta" w:hAnsi="Averta" w:cs="Tahoma"/>
          <w:color w:val="000000" w:themeColor="text1"/>
          <w:sz w:val="22"/>
          <w:szCs w:val="22"/>
          <w:lang w:val="es-MX"/>
        </w:rPr>
        <w:t xml:space="preserve"> de l</w:t>
      </w:r>
      <w:r w:rsidR="0023700A" w:rsidRPr="00AA0ABD">
        <w:rPr>
          <w:rFonts w:ascii="Averta" w:hAnsi="Averta" w:cs="Tahoma"/>
          <w:color w:val="000000" w:themeColor="text1"/>
          <w:sz w:val="22"/>
          <w:szCs w:val="22"/>
          <w:lang w:val="es-MX"/>
        </w:rPr>
        <w:t>os Estados Financieros (Anexo</w:t>
      </w:r>
      <w:r w:rsidR="007B604F" w:rsidRPr="00AA0ABD">
        <w:rPr>
          <w:rFonts w:ascii="Averta" w:hAnsi="Averta" w:cs="Tahoma"/>
          <w:color w:val="000000" w:themeColor="text1"/>
          <w:sz w:val="22"/>
          <w:szCs w:val="22"/>
          <w:lang w:val="es-MX"/>
        </w:rPr>
        <w:t>s</w:t>
      </w:r>
      <w:r w:rsidR="0023700A" w:rsidRPr="00AA0ABD">
        <w:rPr>
          <w:rFonts w:ascii="Averta" w:hAnsi="Averta" w:cs="Tahoma"/>
          <w:color w:val="000000" w:themeColor="text1"/>
          <w:sz w:val="22"/>
          <w:szCs w:val="22"/>
          <w:lang w:val="es-MX"/>
        </w:rPr>
        <w:t xml:space="preserve"> </w:t>
      </w:r>
      <w:r w:rsidR="006F6186" w:rsidRPr="00AA0ABD">
        <w:rPr>
          <w:rFonts w:ascii="Averta" w:hAnsi="Averta" w:cs="Tahoma"/>
          <w:color w:val="000000" w:themeColor="text1"/>
          <w:sz w:val="22"/>
          <w:szCs w:val="22"/>
          <w:lang w:val="es-MX"/>
        </w:rPr>
        <w:t>107</w:t>
      </w:r>
      <w:r w:rsidRPr="00AA0ABD">
        <w:rPr>
          <w:rFonts w:ascii="Averta" w:hAnsi="Averta" w:cs="Tahoma"/>
          <w:color w:val="000000" w:themeColor="text1"/>
          <w:sz w:val="22"/>
          <w:szCs w:val="22"/>
          <w:lang w:val="es-MX"/>
        </w:rPr>
        <w:t>); con todos los puntos señalados en el Capítulo VII del Manual de Contabilidad Gubernamental emitido por el CONAC</w:t>
      </w:r>
      <w:r w:rsidR="00174A52" w:rsidRPr="00AA0ABD">
        <w:rPr>
          <w:rFonts w:ascii="Averta" w:hAnsi="Averta" w:cs="Tahoma"/>
          <w:color w:val="000000" w:themeColor="text1"/>
          <w:sz w:val="22"/>
          <w:szCs w:val="22"/>
          <w:lang w:val="es-MX"/>
        </w:rPr>
        <w:t>.</w:t>
      </w:r>
      <w:r w:rsidR="001E0465" w:rsidRPr="00AA0ABD">
        <w:rPr>
          <w:rFonts w:ascii="Averta" w:hAnsi="Averta" w:cs="Tahoma"/>
          <w:color w:val="000000" w:themeColor="text1"/>
          <w:sz w:val="22"/>
          <w:szCs w:val="22"/>
          <w:lang w:val="es-MX"/>
        </w:rPr>
        <w:t xml:space="preserve"> </w:t>
      </w:r>
    </w:p>
    <w:p w14:paraId="329410B6" w14:textId="251A18F6" w:rsidR="00F61D4B" w:rsidRPr="00AA0ABD" w:rsidRDefault="00F61D4B" w:rsidP="000866AE">
      <w:pPr>
        <w:pStyle w:val="Prrafodelista"/>
        <w:numPr>
          <w:ilvl w:val="0"/>
          <w:numId w:val="16"/>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23700A" w:rsidRPr="00AA0ABD">
        <w:rPr>
          <w:rFonts w:ascii="Averta" w:hAnsi="Averta" w:cs="Tahoma"/>
          <w:color w:val="000000" w:themeColor="text1"/>
          <w:sz w:val="22"/>
          <w:szCs w:val="22"/>
          <w:lang w:val="es-MX"/>
        </w:rPr>
        <w:t>Analítico</w:t>
      </w:r>
      <w:r w:rsidRPr="00AA0ABD">
        <w:rPr>
          <w:rFonts w:ascii="Averta" w:hAnsi="Averta" w:cs="Tahoma"/>
          <w:color w:val="000000" w:themeColor="text1"/>
          <w:sz w:val="22"/>
          <w:szCs w:val="22"/>
          <w:lang w:val="es-MX"/>
        </w:rPr>
        <w:t xml:space="preserve"> del </w:t>
      </w:r>
      <w:r w:rsidR="0023700A" w:rsidRPr="00AA0ABD">
        <w:rPr>
          <w:rFonts w:ascii="Averta" w:hAnsi="Averta" w:cs="Tahoma"/>
          <w:color w:val="000000" w:themeColor="text1"/>
          <w:sz w:val="22"/>
          <w:szCs w:val="22"/>
          <w:lang w:val="es-MX"/>
        </w:rPr>
        <w:t xml:space="preserve">Activo (Anexo </w:t>
      </w:r>
      <w:r w:rsidR="006F6186" w:rsidRPr="00AA0ABD">
        <w:rPr>
          <w:rFonts w:ascii="Averta" w:hAnsi="Averta" w:cs="Tahoma"/>
          <w:color w:val="000000" w:themeColor="text1"/>
          <w:sz w:val="22"/>
          <w:szCs w:val="22"/>
          <w:lang w:val="es-MX"/>
        </w:rPr>
        <w:t>108</w:t>
      </w:r>
      <w:r w:rsidRPr="00AA0ABD">
        <w:rPr>
          <w:rFonts w:ascii="Averta" w:hAnsi="Averta" w:cs="Tahoma"/>
          <w:color w:val="000000" w:themeColor="text1"/>
          <w:sz w:val="22"/>
          <w:szCs w:val="22"/>
          <w:lang w:val="es-MX"/>
        </w:rPr>
        <w:t>); y</w:t>
      </w:r>
    </w:p>
    <w:p w14:paraId="7551F7BF" w14:textId="5912E5C1" w:rsidR="00F61D4B" w:rsidRPr="00AA0ABD" w:rsidRDefault="00F61D4B" w:rsidP="000866AE">
      <w:pPr>
        <w:pStyle w:val="Prrafodelista"/>
        <w:numPr>
          <w:ilvl w:val="0"/>
          <w:numId w:val="16"/>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23700A" w:rsidRPr="00AA0ABD">
        <w:rPr>
          <w:rFonts w:ascii="Averta" w:hAnsi="Averta" w:cs="Tahoma"/>
          <w:color w:val="000000" w:themeColor="text1"/>
          <w:sz w:val="22"/>
          <w:szCs w:val="22"/>
          <w:lang w:val="es-MX"/>
        </w:rPr>
        <w:t>Analítico</w:t>
      </w:r>
      <w:r w:rsidRPr="00AA0ABD">
        <w:rPr>
          <w:rFonts w:ascii="Averta" w:hAnsi="Averta" w:cs="Tahoma"/>
          <w:color w:val="000000" w:themeColor="text1"/>
          <w:sz w:val="22"/>
          <w:szCs w:val="22"/>
          <w:lang w:val="es-MX"/>
        </w:rPr>
        <w:t xml:space="preserve"> de la </w:t>
      </w:r>
      <w:r w:rsidR="0023700A" w:rsidRPr="00AA0ABD">
        <w:rPr>
          <w:rFonts w:ascii="Averta" w:hAnsi="Averta" w:cs="Tahoma"/>
          <w:color w:val="000000" w:themeColor="text1"/>
          <w:sz w:val="22"/>
          <w:szCs w:val="22"/>
          <w:lang w:val="es-MX"/>
        </w:rPr>
        <w:t xml:space="preserve">Deuda </w:t>
      </w:r>
      <w:r w:rsidRPr="00AA0ABD">
        <w:rPr>
          <w:rFonts w:ascii="Averta" w:hAnsi="Averta" w:cs="Tahoma"/>
          <w:color w:val="000000" w:themeColor="text1"/>
          <w:sz w:val="22"/>
          <w:szCs w:val="22"/>
          <w:lang w:val="es-MX"/>
        </w:rPr>
        <w:t xml:space="preserve">y </w:t>
      </w:r>
      <w:r w:rsidR="0023700A" w:rsidRPr="00AA0ABD">
        <w:rPr>
          <w:rFonts w:ascii="Averta" w:hAnsi="Averta" w:cs="Tahoma"/>
          <w:color w:val="000000" w:themeColor="text1"/>
          <w:sz w:val="22"/>
          <w:szCs w:val="22"/>
          <w:lang w:val="es-MX"/>
        </w:rPr>
        <w:t xml:space="preserve">Otros Pasivos (Anexo </w:t>
      </w:r>
      <w:r w:rsidR="006F6186" w:rsidRPr="00AA0ABD">
        <w:rPr>
          <w:rFonts w:ascii="Averta" w:hAnsi="Averta" w:cs="Tahoma"/>
          <w:color w:val="000000" w:themeColor="text1"/>
          <w:sz w:val="22"/>
          <w:szCs w:val="22"/>
          <w:lang w:val="es-MX"/>
        </w:rPr>
        <w:t>109</w:t>
      </w:r>
      <w:r w:rsidRPr="00AA0ABD">
        <w:rPr>
          <w:rFonts w:ascii="Averta" w:hAnsi="Averta" w:cs="Tahoma"/>
          <w:color w:val="000000" w:themeColor="text1"/>
          <w:sz w:val="22"/>
          <w:szCs w:val="22"/>
          <w:lang w:val="es-MX"/>
        </w:rPr>
        <w:t>)</w:t>
      </w:r>
      <w:r w:rsidR="000866AE" w:rsidRPr="00AA0ABD">
        <w:rPr>
          <w:rFonts w:ascii="Averta" w:hAnsi="Averta" w:cs="Tahoma"/>
          <w:color w:val="000000" w:themeColor="text1"/>
          <w:sz w:val="22"/>
          <w:szCs w:val="22"/>
          <w:lang w:val="es-MX"/>
        </w:rPr>
        <w:t>.</w:t>
      </w:r>
    </w:p>
    <w:p w14:paraId="1E920D10" w14:textId="77777777" w:rsidR="000866AE" w:rsidRPr="00AA0ABD" w:rsidRDefault="000866AE" w:rsidP="000866AE">
      <w:pPr>
        <w:pStyle w:val="Prrafodelista"/>
        <w:ind w:left="851" w:right="49"/>
        <w:jc w:val="both"/>
        <w:rPr>
          <w:rFonts w:ascii="Averta" w:hAnsi="Averta" w:cs="Tahoma"/>
          <w:color w:val="000000" w:themeColor="text1"/>
          <w:sz w:val="22"/>
          <w:szCs w:val="22"/>
          <w:lang w:val="es-MX"/>
        </w:rPr>
      </w:pPr>
    </w:p>
    <w:p w14:paraId="649A4E39" w14:textId="77777777" w:rsidR="00F61D4B" w:rsidRPr="00AA0ABD" w:rsidRDefault="00F61D4B" w:rsidP="000866AE">
      <w:pPr>
        <w:ind w:left="426" w:right="49"/>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El Informe Sobre Pasivos Contingentes y las Notas a los Estados Financieros se elaborarán en formato libre. En caso de que no cuente con pasivos contingentes se deberá informar de igual manera.</w:t>
      </w:r>
    </w:p>
    <w:p w14:paraId="0EB7DA05" w14:textId="77777777" w:rsidR="00F61D4B" w:rsidRPr="00AA0ABD" w:rsidRDefault="00F61D4B" w:rsidP="000866AE">
      <w:pPr>
        <w:ind w:left="709" w:right="49" w:hanging="709"/>
        <w:jc w:val="both"/>
        <w:rPr>
          <w:rFonts w:ascii="Averta" w:hAnsi="Averta" w:cs="Tahoma"/>
          <w:color w:val="000000" w:themeColor="text1"/>
          <w:sz w:val="14"/>
          <w:szCs w:val="14"/>
          <w:lang w:val="es-MX"/>
        </w:rPr>
      </w:pPr>
    </w:p>
    <w:p w14:paraId="3E33A837" w14:textId="77777777" w:rsidR="00F61D4B" w:rsidRPr="00AA0ABD" w:rsidRDefault="00F61D4B" w:rsidP="000866AE">
      <w:pPr>
        <w:numPr>
          <w:ilvl w:val="0"/>
          <w:numId w:val="10"/>
        </w:numPr>
        <w:tabs>
          <w:tab w:val="left" w:pos="8789"/>
        </w:tabs>
        <w:ind w:left="426" w:right="49" w:hanging="426"/>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Información Presupuestaria:</w:t>
      </w:r>
    </w:p>
    <w:p w14:paraId="5EC91ADF" w14:textId="41562180" w:rsidR="00F61D4B" w:rsidRPr="00AA0ABD" w:rsidRDefault="00F61D4B" w:rsidP="000866AE">
      <w:pPr>
        <w:numPr>
          <w:ilvl w:val="0"/>
          <w:numId w:val="11"/>
        </w:numPr>
        <w:tabs>
          <w:tab w:val="left" w:pos="8789"/>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23700A"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nalítico de </w:t>
      </w:r>
      <w:r w:rsidR="0023700A" w:rsidRPr="00AA0ABD">
        <w:rPr>
          <w:rFonts w:ascii="Averta" w:hAnsi="Averta" w:cs="Tahoma"/>
          <w:color w:val="000000" w:themeColor="text1"/>
          <w:sz w:val="22"/>
          <w:szCs w:val="22"/>
          <w:lang w:val="es-MX"/>
        </w:rPr>
        <w:t>I</w:t>
      </w:r>
      <w:r w:rsidRPr="00AA0ABD">
        <w:rPr>
          <w:rFonts w:ascii="Averta" w:hAnsi="Averta" w:cs="Tahoma"/>
          <w:color w:val="000000" w:themeColor="text1"/>
          <w:sz w:val="22"/>
          <w:szCs w:val="22"/>
          <w:lang w:val="es-MX"/>
        </w:rPr>
        <w:t>ngresos (Anexo</w:t>
      </w:r>
      <w:r w:rsidR="005B0393" w:rsidRPr="00AA0ABD">
        <w:rPr>
          <w:rFonts w:ascii="Averta" w:hAnsi="Averta" w:cs="Tahoma"/>
          <w:color w:val="000000" w:themeColor="text1"/>
          <w:sz w:val="22"/>
          <w:szCs w:val="22"/>
          <w:lang w:val="es-MX"/>
        </w:rPr>
        <w:t xml:space="preserve"> </w:t>
      </w:r>
      <w:r w:rsidR="006F6186" w:rsidRPr="00AA0ABD">
        <w:rPr>
          <w:rFonts w:ascii="Averta" w:hAnsi="Averta" w:cs="Tahoma"/>
          <w:color w:val="000000" w:themeColor="text1"/>
          <w:sz w:val="22"/>
          <w:szCs w:val="22"/>
          <w:lang w:val="es-MX"/>
        </w:rPr>
        <w:t>110</w:t>
      </w:r>
      <w:r w:rsidRPr="00AA0ABD">
        <w:rPr>
          <w:rFonts w:ascii="Averta" w:hAnsi="Averta" w:cs="Tahoma"/>
          <w:color w:val="000000" w:themeColor="text1"/>
          <w:sz w:val="22"/>
          <w:szCs w:val="22"/>
          <w:lang w:val="es-MX"/>
        </w:rPr>
        <w:t>);</w:t>
      </w:r>
    </w:p>
    <w:p w14:paraId="6418D57F" w14:textId="2FF01190" w:rsidR="00F61D4B" w:rsidRPr="00AA0ABD" w:rsidRDefault="00F61D4B" w:rsidP="000866AE">
      <w:pPr>
        <w:numPr>
          <w:ilvl w:val="0"/>
          <w:numId w:val="11"/>
        </w:numPr>
        <w:tabs>
          <w:tab w:val="left" w:pos="8789"/>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E36A2D"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nalítico del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jercicio del </w:t>
      </w:r>
      <w:r w:rsidR="00E36A2D" w:rsidRPr="00AA0ABD">
        <w:rPr>
          <w:rFonts w:ascii="Averta" w:hAnsi="Averta" w:cs="Tahoma"/>
          <w:color w:val="000000" w:themeColor="text1"/>
          <w:sz w:val="22"/>
          <w:szCs w:val="22"/>
          <w:lang w:val="es-MX"/>
        </w:rPr>
        <w:t>P</w:t>
      </w:r>
      <w:r w:rsidRPr="00AA0ABD">
        <w:rPr>
          <w:rFonts w:ascii="Averta" w:hAnsi="Averta" w:cs="Tahoma"/>
          <w:color w:val="000000" w:themeColor="text1"/>
          <w:sz w:val="22"/>
          <w:szCs w:val="22"/>
          <w:lang w:val="es-MX"/>
        </w:rPr>
        <w:t xml:space="preserve">resupuesto de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gresos </w:t>
      </w:r>
      <w:r w:rsidR="00E36A2D" w:rsidRPr="00AA0ABD">
        <w:rPr>
          <w:rFonts w:ascii="Averta" w:hAnsi="Averta" w:cs="Tahoma"/>
          <w:color w:val="000000" w:themeColor="text1"/>
          <w:sz w:val="22"/>
          <w:szCs w:val="22"/>
          <w:lang w:val="es-MX"/>
        </w:rPr>
        <w:t>C</w:t>
      </w:r>
      <w:r w:rsidRPr="00AA0ABD">
        <w:rPr>
          <w:rFonts w:ascii="Averta" w:hAnsi="Averta" w:cs="Tahoma"/>
          <w:color w:val="000000" w:themeColor="text1"/>
          <w:sz w:val="22"/>
          <w:szCs w:val="22"/>
          <w:lang w:val="es-MX"/>
        </w:rPr>
        <w:t xml:space="preserve">lasificación </w:t>
      </w:r>
      <w:r w:rsidR="00E36A2D"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dministrativa (Anexo </w:t>
      </w:r>
      <w:r w:rsidR="006F6186" w:rsidRPr="00AA0ABD">
        <w:rPr>
          <w:rFonts w:ascii="Averta" w:hAnsi="Averta" w:cs="Tahoma"/>
          <w:color w:val="000000" w:themeColor="text1"/>
          <w:sz w:val="22"/>
          <w:szCs w:val="22"/>
          <w:lang w:val="es-MX"/>
        </w:rPr>
        <w:t>111</w:t>
      </w:r>
      <w:r w:rsidRPr="00AA0ABD">
        <w:rPr>
          <w:rFonts w:ascii="Averta" w:hAnsi="Averta" w:cs="Tahoma"/>
          <w:color w:val="000000" w:themeColor="text1"/>
          <w:sz w:val="22"/>
          <w:szCs w:val="22"/>
          <w:lang w:val="es-MX"/>
        </w:rPr>
        <w:t>);</w:t>
      </w:r>
    </w:p>
    <w:p w14:paraId="27C345FA" w14:textId="2777A23D" w:rsidR="00F61D4B" w:rsidRPr="00AA0ABD" w:rsidRDefault="00F61D4B" w:rsidP="000866AE">
      <w:pPr>
        <w:numPr>
          <w:ilvl w:val="0"/>
          <w:numId w:val="11"/>
        </w:numPr>
        <w:tabs>
          <w:tab w:val="left" w:pos="8789"/>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E36A2D"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nalítico del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jercicio del </w:t>
      </w:r>
      <w:r w:rsidR="00E36A2D" w:rsidRPr="00AA0ABD">
        <w:rPr>
          <w:rFonts w:ascii="Averta" w:hAnsi="Averta" w:cs="Tahoma"/>
          <w:color w:val="000000" w:themeColor="text1"/>
          <w:sz w:val="22"/>
          <w:szCs w:val="22"/>
          <w:lang w:val="es-MX"/>
        </w:rPr>
        <w:t>P</w:t>
      </w:r>
      <w:r w:rsidRPr="00AA0ABD">
        <w:rPr>
          <w:rFonts w:ascii="Averta" w:hAnsi="Averta" w:cs="Tahoma"/>
          <w:color w:val="000000" w:themeColor="text1"/>
          <w:sz w:val="22"/>
          <w:szCs w:val="22"/>
          <w:lang w:val="es-MX"/>
        </w:rPr>
        <w:t xml:space="preserve">resupuesto de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gresos </w:t>
      </w:r>
      <w:r w:rsidR="00E36A2D" w:rsidRPr="00AA0ABD">
        <w:rPr>
          <w:rFonts w:ascii="Averta" w:hAnsi="Averta" w:cs="Tahoma"/>
          <w:color w:val="000000" w:themeColor="text1"/>
          <w:sz w:val="22"/>
          <w:szCs w:val="22"/>
          <w:lang w:val="es-MX"/>
        </w:rPr>
        <w:t>C</w:t>
      </w:r>
      <w:r w:rsidRPr="00AA0ABD">
        <w:rPr>
          <w:rFonts w:ascii="Averta" w:hAnsi="Averta" w:cs="Tahoma"/>
          <w:color w:val="000000" w:themeColor="text1"/>
          <w:sz w:val="22"/>
          <w:szCs w:val="22"/>
          <w:lang w:val="es-MX"/>
        </w:rPr>
        <w:t xml:space="preserve">lasificación </w:t>
      </w:r>
      <w:r w:rsidR="00E36A2D" w:rsidRPr="00AA0ABD">
        <w:rPr>
          <w:rFonts w:ascii="Averta" w:hAnsi="Averta" w:cs="Tahoma"/>
          <w:color w:val="000000" w:themeColor="text1"/>
          <w:sz w:val="22"/>
          <w:szCs w:val="22"/>
          <w:lang w:val="es-MX"/>
        </w:rPr>
        <w:t>Económica (</w:t>
      </w:r>
      <w:r w:rsidR="00882237" w:rsidRPr="00AA0ABD">
        <w:rPr>
          <w:rFonts w:ascii="Averta" w:hAnsi="Averta" w:cs="Tahoma"/>
          <w:color w:val="000000" w:themeColor="text1"/>
          <w:sz w:val="22"/>
          <w:szCs w:val="22"/>
          <w:lang w:val="es-MX"/>
        </w:rPr>
        <w:t>P</w:t>
      </w:r>
      <w:r w:rsidR="00E36A2D" w:rsidRPr="00AA0ABD">
        <w:rPr>
          <w:rFonts w:ascii="Averta" w:hAnsi="Averta" w:cs="Tahoma"/>
          <w:color w:val="000000" w:themeColor="text1"/>
          <w:sz w:val="22"/>
          <w:szCs w:val="22"/>
          <w:lang w:val="es-MX"/>
        </w:rPr>
        <w:t>or Tipo de G</w:t>
      </w:r>
      <w:r w:rsidRPr="00AA0ABD">
        <w:rPr>
          <w:rFonts w:ascii="Averta" w:hAnsi="Averta" w:cs="Tahoma"/>
          <w:color w:val="000000" w:themeColor="text1"/>
          <w:sz w:val="22"/>
          <w:szCs w:val="22"/>
          <w:lang w:val="es-MX"/>
        </w:rPr>
        <w:t>asto) (Anexo</w:t>
      </w:r>
      <w:r w:rsidR="005B0393" w:rsidRPr="00AA0ABD">
        <w:rPr>
          <w:rFonts w:ascii="Averta" w:hAnsi="Averta" w:cs="Tahoma"/>
          <w:color w:val="000000" w:themeColor="text1"/>
          <w:sz w:val="22"/>
          <w:szCs w:val="22"/>
          <w:lang w:val="es-MX"/>
        </w:rPr>
        <w:t xml:space="preserve"> </w:t>
      </w:r>
      <w:r w:rsidR="006F6186" w:rsidRPr="00AA0ABD">
        <w:rPr>
          <w:rFonts w:ascii="Averta" w:hAnsi="Averta" w:cs="Tahoma"/>
          <w:color w:val="000000" w:themeColor="text1"/>
          <w:sz w:val="22"/>
          <w:szCs w:val="22"/>
          <w:lang w:val="es-MX"/>
        </w:rPr>
        <w:t>112</w:t>
      </w:r>
      <w:r w:rsidRPr="00AA0ABD">
        <w:rPr>
          <w:rFonts w:ascii="Averta" w:hAnsi="Averta" w:cs="Tahoma"/>
          <w:color w:val="000000" w:themeColor="text1"/>
          <w:sz w:val="22"/>
          <w:szCs w:val="22"/>
          <w:lang w:val="es-MX"/>
        </w:rPr>
        <w:t>);</w:t>
      </w:r>
    </w:p>
    <w:p w14:paraId="09603D53" w14:textId="71D28B10" w:rsidR="00F61D4B" w:rsidRPr="00AA0ABD" w:rsidRDefault="00F61D4B" w:rsidP="000866AE">
      <w:pPr>
        <w:numPr>
          <w:ilvl w:val="0"/>
          <w:numId w:val="11"/>
        </w:numPr>
        <w:tabs>
          <w:tab w:val="left" w:pos="8789"/>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E36A2D"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nalítico del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jercicio del </w:t>
      </w:r>
      <w:r w:rsidR="00E36A2D" w:rsidRPr="00AA0ABD">
        <w:rPr>
          <w:rFonts w:ascii="Averta" w:hAnsi="Averta" w:cs="Tahoma"/>
          <w:color w:val="000000" w:themeColor="text1"/>
          <w:sz w:val="22"/>
          <w:szCs w:val="22"/>
          <w:lang w:val="es-MX"/>
        </w:rPr>
        <w:t>P</w:t>
      </w:r>
      <w:r w:rsidRPr="00AA0ABD">
        <w:rPr>
          <w:rFonts w:ascii="Averta" w:hAnsi="Averta" w:cs="Tahoma"/>
          <w:color w:val="000000" w:themeColor="text1"/>
          <w:sz w:val="22"/>
          <w:szCs w:val="22"/>
          <w:lang w:val="es-MX"/>
        </w:rPr>
        <w:t xml:space="preserve">resupuesto de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gresos </w:t>
      </w:r>
      <w:r w:rsidR="00E36A2D" w:rsidRPr="00AA0ABD">
        <w:rPr>
          <w:rFonts w:ascii="Averta" w:hAnsi="Averta" w:cs="Tahoma"/>
          <w:color w:val="000000" w:themeColor="text1"/>
          <w:sz w:val="22"/>
          <w:szCs w:val="22"/>
          <w:lang w:val="es-MX"/>
        </w:rPr>
        <w:t>C</w:t>
      </w:r>
      <w:r w:rsidRPr="00AA0ABD">
        <w:rPr>
          <w:rFonts w:ascii="Averta" w:hAnsi="Averta" w:cs="Tahoma"/>
          <w:color w:val="000000" w:themeColor="text1"/>
          <w:sz w:val="22"/>
          <w:szCs w:val="22"/>
          <w:lang w:val="es-MX"/>
        </w:rPr>
        <w:t xml:space="preserve">lasificación por </w:t>
      </w:r>
      <w:r w:rsidR="00E36A2D" w:rsidRPr="00AA0ABD">
        <w:rPr>
          <w:rFonts w:ascii="Averta" w:hAnsi="Averta" w:cs="Tahoma"/>
          <w:color w:val="000000" w:themeColor="text1"/>
          <w:sz w:val="22"/>
          <w:szCs w:val="22"/>
          <w:lang w:val="es-MX"/>
        </w:rPr>
        <w:t>O</w:t>
      </w:r>
      <w:r w:rsidRPr="00AA0ABD">
        <w:rPr>
          <w:rFonts w:ascii="Averta" w:hAnsi="Averta" w:cs="Tahoma"/>
          <w:color w:val="000000" w:themeColor="text1"/>
          <w:sz w:val="22"/>
          <w:szCs w:val="22"/>
          <w:lang w:val="es-MX"/>
        </w:rPr>
        <w:t xml:space="preserve">bjeto del </w:t>
      </w:r>
      <w:r w:rsidR="00E36A2D" w:rsidRPr="00AA0ABD">
        <w:rPr>
          <w:rFonts w:ascii="Averta" w:hAnsi="Averta" w:cs="Tahoma"/>
          <w:color w:val="000000" w:themeColor="text1"/>
          <w:sz w:val="22"/>
          <w:szCs w:val="22"/>
          <w:lang w:val="es-MX"/>
        </w:rPr>
        <w:t>G</w:t>
      </w:r>
      <w:r w:rsidRPr="00AA0ABD">
        <w:rPr>
          <w:rFonts w:ascii="Averta" w:hAnsi="Averta" w:cs="Tahoma"/>
          <w:color w:val="000000" w:themeColor="text1"/>
          <w:sz w:val="22"/>
          <w:szCs w:val="22"/>
          <w:lang w:val="es-MX"/>
        </w:rPr>
        <w:t xml:space="preserve">asto (Capítulo y Concepto) (Anexo </w:t>
      </w:r>
      <w:r w:rsidR="006F6186" w:rsidRPr="00AA0ABD">
        <w:rPr>
          <w:rFonts w:ascii="Averta" w:hAnsi="Averta" w:cs="Tahoma"/>
          <w:color w:val="000000" w:themeColor="text1"/>
          <w:sz w:val="22"/>
          <w:szCs w:val="22"/>
          <w:lang w:val="es-MX"/>
        </w:rPr>
        <w:t>113</w:t>
      </w:r>
      <w:r w:rsidRPr="00AA0ABD">
        <w:rPr>
          <w:rFonts w:ascii="Averta" w:hAnsi="Averta" w:cs="Tahoma"/>
          <w:color w:val="000000" w:themeColor="text1"/>
          <w:sz w:val="22"/>
          <w:szCs w:val="22"/>
          <w:lang w:val="es-MX"/>
        </w:rPr>
        <w:t>);</w:t>
      </w:r>
    </w:p>
    <w:p w14:paraId="4C1D40CA" w14:textId="6836E3CD" w:rsidR="00F61D4B" w:rsidRPr="00AA0ABD" w:rsidRDefault="00F61D4B" w:rsidP="000866AE">
      <w:pPr>
        <w:numPr>
          <w:ilvl w:val="0"/>
          <w:numId w:val="11"/>
        </w:numPr>
        <w:tabs>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w:t>
      </w:r>
      <w:r w:rsidR="00E36A2D" w:rsidRPr="00AA0ABD">
        <w:rPr>
          <w:rFonts w:ascii="Averta" w:hAnsi="Averta" w:cs="Tahoma"/>
          <w:color w:val="000000" w:themeColor="text1"/>
          <w:sz w:val="22"/>
          <w:szCs w:val="22"/>
          <w:lang w:val="es-MX"/>
        </w:rPr>
        <w:t>A</w:t>
      </w:r>
      <w:r w:rsidRPr="00AA0ABD">
        <w:rPr>
          <w:rFonts w:ascii="Averta" w:hAnsi="Averta" w:cs="Tahoma"/>
          <w:color w:val="000000" w:themeColor="text1"/>
          <w:sz w:val="22"/>
          <w:szCs w:val="22"/>
          <w:lang w:val="es-MX"/>
        </w:rPr>
        <w:t xml:space="preserve">nalítico del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jercicio del </w:t>
      </w:r>
      <w:r w:rsidR="00E36A2D" w:rsidRPr="00AA0ABD">
        <w:rPr>
          <w:rFonts w:ascii="Averta" w:hAnsi="Averta" w:cs="Tahoma"/>
          <w:color w:val="000000" w:themeColor="text1"/>
          <w:sz w:val="22"/>
          <w:szCs w:val="22"/>
          <w:lang w:val="es-MX"/>
        </w:rPr>
        <w:t>P</w:t>
      </w:r>
      <w:r w:rsidRPr="00AA0ABD">
        <w:rPr>
          <w:rFonts w:ascii="Averta" w:hAnsi="Averta" w:cs="Tahoma"/>
          <w:color w:val="000000" w:themeColor="text1"/>
          <w:sz w:val="22"/>
          <w:szCs w:val="22"/>
          <w:lang w:val="es-MX"/>
        </w:rPr>
        <w:t xml:space="preserve">resupuesto de </w:t>
      </w:r>
      <w:r w:rsidR="00E36A2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gresos </w:t>
      </w:r>
      <w:r w:rsidR="00E36A2D" w:rsidRPr="00AA0ABD">
        <w:rPr>
          <w:rFonts w:ascii="Averta" w:hAnsi="Averta" w:cs="Tahoma"/>
          <w:color w:val="000000" w:themeColor="text1"/>
          <w:sz w:val="22"/>
          <w:szCs w:val="22"/>
          <w:lang w:val="es-MX"/>
        </w:rPr>
        <w:t>C</w:t>
      </w:r>
      <w:r w:rsidRPr="00AA0ABD">
        <w:rPr>
          <w:rFonts w:ascii="Averta" w:hAnsi="Averta" w:cs="Tahoma"/>
          <w:color w:val="000000" w:themeColor="text1"/>
          <w:sz w:val="22"/>
          <w:szCs w:val="22"/>
          <w:lang w:val="es-MX"/>
        </w:rPr>
        <w:t xml:space="preserve">lasificación </w:t>
      </w:r>
      <w:r w:rsidR="00E36A2D" w:rsidRPr="00AA0ABD">
        <w:rPr>
          <w:rFonts w:ascii="Averta" w:hAnsi="Averta" w:cs="Tahoma"/>
          <w:color w:val="000000" w:themeColor="text1"/>
          <w:sz w:val="22"/>
          <w:szCs w:val="22"/>
          <w:lang w:val="es-MX"/>
        </w:rPr>
        <w:t>F</w:t>
      </w:r>
      <w:r w:rsidRPr="00AA0ABD">
        <w:rPr>
          <w:rFonts w:ascii="Averta" w:hAnsi="Averta" w:cs="Tahoma"/>
          <w:color w:val="000000" w:themeColor="text1"/>
          <w:sz w:val="22"/>
          <w:szCs w:val="22"/>
          <w:lang w:val="es-MX"/>
        </w:rPr>
        <w:t xml:space="preserve">uncional (Finalidad y Función) (Anexo </w:t>
      </w:r>
      <w:r w:rsidR="006F6186" w:rsidRPr="00AA0ABD">
        <w:rPr>
          <w:rFonts w:ascii="Averta" w:hAnsi="Averta" w:cs="Tahoma"/>
          <w:color w:val="000000" w:themeColor="text1"/>
          <w:sz w:val="22"/>
          <w:szCs w:val="22"/>
          <w:lang w:val="es-MX"/>
        </w:rPr>
        <w:t>114</w:t>
      </w:r>
      <w:r w:rsidRPr="00AA0ABD">
        <w:rPr>
          <w:rFonts w:ascii="Averta" w:hAnsi="Averta" w:cs="Tahoma"/>
          <w:color w:val="000000" w:themeColor="text1"/>
          <w:sz w:val="22"/>
          <w:szCs w:val="22"/>
          <w:lang w:val="es-MX"/>
        </w:rPr>
        <w:t>);</w:t>
      </w:r>
    </w:p>
    <w:p w14:paraId="194B6299" w14:textId="4D5FC90A" w:rsidR="00F61D4B" w:rsidRPr="00AA0ABD" w:rsidRDefault="00E36A2D" w:rsidP="000866AE">
      <w:pPr>
        <w:numPr>
          <w:ilvl w:val="0"/>
          <w:numId w:val="11"/>
        </w:numPr>
        <w:tabs>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Endeudamiento Neto (Anexo </w:t>
      </w:r>
      <w:r w:rsidR="006F6186" w:rsidRPr="00AA0ABD">
        <w:rPr>
          <w:rFonts w:ascii="Averta" w:hAnsi="Averta" w:cs="Tahoma"/>
          <w:color w:val="000000" w:themeColor="text1"/>
          <w:sz w:val="22"/>
          <w:szCs w:val="22"/>
          <w:lang w:val="es-MX"/>
        </w:rPr>
        <w:t>115</w:t>
      </w:r>
      <w:r w:rsidR="00F61D4B" w:rsidRPr="00AA0ABD">
        <w:rPr>
          <w:rFonts w:ascii="Averta" w:hAnsi="Averta" w:cs="Tahoma"/>
          <w:color w:val="000000" w:themeColor="text1"/>
          <w:sz w:val="22"/>
          <w:szCs w:val="22"/>
          <w:lang w:val="es-MX"/>
        </w:rPr>
        <w:t>);</w:t>
      </w:r>
    </w:p>
    <w:p w14:paraId="7C12398E" w14:textId="528B4400" w:rsidR="00F61D4B" w:rsidRPr="00AA0ABD" w:rsidRDefault="00F61D4B" w:rsidP="000866AE">
      <w:pPr>
        <w:numPr>
          <w:ilvl w:val="0"/>
          <w:numId w:val="11"/>
        </w:numPr>
        <w:tabs>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Intereses de la </w:t>
      </w:r>
      <w:r w:rsidR="00E36A2D" w:rsidRPr="00AA0ABD">
        <w:rPr>
          <w:rFonts w:ascii="Averta" w:hAnsi="Averta" w:cs="Tahoma"/>
          <w:color w:val="000000" w:themeColor="text1"/>
          <w:sz w:val="22"/>
          <w:szCs w:val="22"/>
          <w:lang w:val="es-MX"/>
        </w:rPr>
        <w:t>D</w:t>
      </w:r>
      <w:r w:rsidRPr="00AA0ABD">
        <w:rPr>
          <w:rFonts w:ascii="Averta" w:hAnsi="Averta" w:cs="Tahoma"/>
          <w:color w:val="000000" w:themeColor="text1"/>
          <w:sz w:val="22"/>
          <w:szCs w:val="22"/>
          <w:lang w:val="es-MX"/>
        </w:rPr>
        <w:t>euda (A</w:t>
      </w:r>
      <w:r w:rsidR="00E36A2D" w:rsidRPr="00AA0ABD">
        <w:rPr>
          <w:rFonts w:ascii="Averta" w:hAnsi="Averta" w:cs="Tahoma"/>
          <w:color w:val="000000" w:themeColor="text1"/>
          <w:sz w:val="22"/>
          <w:szCs w:val="22"/>
          <w:lang w:val="es-MX"/>
        </w:rPr>
        <w:t xml:space="preserve">nexo </w:t>
      </w:r>
      <w:r w:rsidR="006F6186" w:rsidRPr="00AA0ABD">
        <w:rPr>
          <w:rFonts w:ascii="Averta" w:hAnsi="Averta" w:cs="Tahoma"/>
          <w:color w:val="000000" w:themeColor="text1"/>
          <w:sz w:val="22"/>
          <w:szCs w:val="22"/>
          <w:lang w:val="es-MX"/>
        </w:rPr>
        <w:t>116</w:t>
      </w:r>
      <w:r w:rsidRPr="00AA0ABD">
        <w:rPr>
          <w:rFonts w:ascii="Averta" w:hAnsi="Averta" w:cs="Tahoma"/>
          <w:color w:val="000000" w:themeColor="text1"/>
          <w:sz w:val="22"/>
          <w:szCs w:val="22"/>
          <w:lang w:val="es-MX"/>
        </w:rPr>
        <w:t>);</w:t>
      </w:r>
    </w:p>
    <w:p w14:paraId="623702B5" w14:textId="40C84FE1" w:rsidR="00F61D4B" w:rsidRPr="00AA0ABD" w:rsidRDefault="00E36A2D" w:rsidP="000866AE">
      <w:pPr>
        <w:numPr>
          <w:ilvl w:val="0"/>
          <w:numId w:val="11"/>
        </w:numPr>
        <w:tabs>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Flujo de Fondos (Anexo </w:t>
      </w:r>
      <w:r w:rsidR="006F6186" w:rsidRPr="00AA0ABD">
        <w:rPr>
          <w:rFonts w:ascii="Averta" w:hAnsi="Averta" w:cs="Tahoma"/>
          <w:color w:val="000000" w:themeColor="text1"/>
          <w:sz w:val="22"/>
          <w:szCs w:val="22"/>
          <w:lang w:val="es-MX"/>
        </w:rPr>
        <w:t>117</w:t>
      </w:r>
      <w:r w:rsidR="00F61D4B" w:rsidRPr="00AA0ABD">
        <w:rPr>
          <w:rFonts w:ascii="Averta" w:hAnsi="Averta" w:cs="Tahoma"/>
          <w:color w:val="000000" w:themeColor="text1"/>
          <w:sz w:val="22"/>
          <w:szCs w:val="22"/>
          <w:lang w:val="es-MX"/>
        </w:rPr>
        <w:t>); e</w:t>
      </w:r>
    </w:p>
    <w:p w14:paraId="736FB8FC" w14:textId="1C144C60" w:rsidR="00F61D4B" w:rsidRPr="00AA0ABD" w:rsidRDefault="00F61D4B" w:rsidP="000866AE">
      <w:pPr>
        <w:numPr>
          <w:ilvl w:val="0"/>
          <w:numId w:val="11"/>
        </w:numPr>
        <w:tabs>
          <w:tab w:val="left" w:pos="8931"/>
        </w:tabs>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Indicado</w:t>
      </w:r>
      <w:r w:rsidR="00E36A2D" w:rsidRPr="00AA0ABD">
        <w:rPr>
          <w:rFonts w:ascii="Averta" w:hAnsi="Averta" w:cs="Tahoma"/>
          <w:color w:val="000000" w:themeColor="text1"/>
          <w:sz w:val="22"/>
          <w:szCs w:val="22"/>
          <w:lang w:val="es-MX"/>
        </w:rPr>
        <w:t>res de Postura Fiscal (Anexo</w:t>
      </w:r>
      <w:r w:rsidR="005B0393" w:rsidRPr="00AA0ABD">
        <w:rPr>
          <w:rFonts w:ascii="Averta" w:hAnsi="Averta" w:cs="Tahoma"/>
          <w:color w:val="000000" w:themeColor="text1"/>
          <w:sz w:val="22"/>
          <w:szCs w:val="22"/>
          <w:lang w:val="es-MX"/>
        </w:rPr>
        <w:t xml:space="preserve"> </w:t>
      </w:r>
      <w:r w:rsidR="006F6186" w:rsidRPr="00AA0ABD">
        <w:rPr>
          <w:rFonts w:ascii="Averta" w:hAnsi="Averta" w:cs="Tahoma"/>
          <w:color w:val="000000" w:themeColor="text1"/>
          <w:sz w:val="22"/>
          <w:szCs w:val="22"/>
          <w:lang w:val="es-MX"/>
        </w:rPr>
        <w:t>118</w:t>
      </w:r>
      <w:r w:rsidRPr="00AA0ABD">
        <w:rPr>
          <w:rFonts w:ascii="Averta" w:hAnsi="Averta" w:cs="Tahoma"/>
          <w:color w:val="000000" w:themeColor="text1"/>
          <w:sz w:val="22"/>
          <w:szCs w:val="22"/>
          <w:lang w:val="es-MX"/>
        </w:rPr>
        <w:t>).</w:t>
      </w:r>
    </w:p>
    <w:p w14:paraId="20189695" w14:textId="78927E67" w:rsidR="00F61D4B" w:rsidRPr="00AA0ABD" w:rsidRDefault="00F61D4B" w:rsidP="000866AE">
      <w:pPr>
        <w:ind w:left="426" w:right="49" w:hanging="426"/>
        <w:jc w:val="both"/>
        <w:rPr>
          <w:rFonts w:ascii="Averta" w:hAnsi="Averta" w:cs="Tahoma"/>
          <w:color w:val="000000" w:themeColor="text1"/>
          <w:sz w:val="22"/>
          <w:szCs w:val="22"/>
          <w:lang w:val="es-MX"/>
        </w:rPr>
      </w:pPr>
    </w:p>
    <w:p w14:paraId="6A558F7E" w14:textId="77777777" w:rsidR="00F61D4B" w:rsidRPr="00AA0ABD" w:rsidRDefault="00F61D4B" w:rsidP="000866AE">
      <w:pPr>
        <w:numPr>
          <w:ilvl w:val="0"/>
          <w:numId w:val="10"/>
        </w:numPr>
        <w:ind w:left="426" w:right="49" w:hanging="426"/>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lastRenderedPageBreak/>
        <w:t>Información programática:</w:t>
      </w:r>
    </w:p>
    <w:p w14:paraId="6F6ECBE8" w14:textId="09CD7C02" w:rsidR="00F61D4B" w:rsidRPr="00AA0ABD" w:rsidRDefault="00F61D4B" w:rsidP="000866AE">
      <w:pPr>
        <w:numPr>
          <w:ilvl w:val="0"/>
          <w:numId w:val="12"/>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Gasto por </w:t>
      </w:r>
      <w:r w:rsidR="00E36A2D" w:rsidRPr="00AA0ABD">
        <w:rPr>
          <w:rFonts w:ascii="Averta" w:hAnsi="Averta" w:cs="Tahoma"/>
          <w:color w:val="000000" w:themeColor="text1"/>
          <w:sz w:val="22"/>
          <w:szCs w:val="22"/>
          <w:lang w:val="es-MX"/>
        </w:rPr>
        <w:t xml:space="preserve">Categoría Programática (Anexo </w:t>
      </w:r>
      <w:r w:rsidR="006F6186" w:rsidRPr="00AA0ABD">
        <w:rPr>
          <w:rFonts w:ascii="Averta" w:hAnsi="Averta" w:cs="Tahoma"/>
          <w:color w:val="000000" w:themeColor="text1"/>
          <w:sz w:val="22"/>
          <w:szCs w:val="22"/>
          <w:lang w:val="es-MX"/>
        </w:rPr>
        <w:t>119</w:t>
      </w:r>
      <w:r w:rsidRPr="00AA0ABD">
        <w:rPr>
          <w:rFonts w:ascii="Averta" w:hAnsi="Averta" w:cs="Tahoma"/>
          <w:color w:val="000000" w:themeColor="text1"/>
          <w:sz w:val="22"/>
          <w:szCs w:val="22"/>
          <w:lang w:val="es-MX"/>
        </w:rPr>
        <w:t>);</w:t>
      </w:r>
    </w:p>
    <w:p w14:paraId="08917C25" w14:textId="4F84C118" w:rsidR="00F61D4B" w:rsidRPr="00AA0ABD" w:rsidRDefault="00F61D4B" w:rsidP="000866AE">
      <w:pPr>
        <w:numPr>
          <w:ilvl w:val="0"/>
          <w:numId w:val="12"/>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Programas y </w:t>
      </w:r>
      <w:r w:rsidR="00E36A2D" w:rsidRPr="00AA0ABD">
        <w:rPr>
          <w:rFonts w:ascii="Averta" w:hAnsi="Averta" w:cs="Tahoma"/>
          <w:color w:val="000000" w:themeColor="text1"/>
          <w:sz w:val="22"/>
          <w:szCs w:val="22"/>
          <w:lang w:val="es-MX"/>
        </w:rPr>
        <w:t xml:space="preserve">Proyectos de Inversión (Anexo </w:t>
      </w:r>
      <w:r w:rsidR="006F6186" w:rsidRPr="00AA0ABD">
        <w:rPr>
          <w:rFonts w:ascii="Averta" w:hAnsi="Averta" w:cs="Tahoma"/>
          <w:color w:val="000000" w:themeColor="text1"/>
          <w:sz w:val="22"/>
          <w:szCs w:val="22"/>
          <w:lang w:val="es-MX"/>
        </w:rPr>
        <w:t>120</w:t>
      </w:r>
      <w:r w:rsidRPr="00AA0ABD">
        <w:rPr>
          <w:rFonts w:ascii="Averta" w:hAnsi="Averta" w:cs="Tahoma"/>
          <w:color w:val="000000" w:themeColor="text1"/>
          <w:sz w:val="22"/>
          <w:szCs w:val="22"/>
          <w:lang w:val="es-MX"/>
        </w:rPr>
        <w:t>)</w:t>
      </w:r>
      <w:r w:rsidR="00E36A2D" w:rsidRPr="00AA0ABD">
        <w:rPr>
          <w:rFonts w:ascii="Averta" w:hAnsi="Averta" w:cs="Tahoma"/>
          <w:color w:val="000000" w:themeColor="text1"/>
          <w:sz w:val="22"/>
          <w:szCs w:val="22"/>
          <w:lang w:val="es-MX"/>
        </w:rPr>
        <w:t>;</w:t>
      </w:r>
      <w:r w:rsidRPr="00AA0ABD">
        <w:rPr>
          <w:rFonts w:ascii="Averta" w:hAnsi="Averta" w:cs="Tahoma"/>
          <w:color w:val="000000" w:themeColor="text1"/>
          <w:sz w:val="22"/>
          <w:szCs w:val="22"/>
          <w:lang w:val="es-MX"/>
        </w:rPr>
        <w:t xml:space="preserve"> y</w:t>
      </w:r>
    </w:p>
    <w:p w14:paraId="50544A78" w14:textId="26D1DE98" w:rsidR="00F61D4B" w:rsidRPr="00AA0ABD" w:rsidRDefault="00E36A2D" w:rsidP="000866AE">
      <w:pPr>
        <w:numPr>
          <w:ilvl w:val="0"/>
          <w:numId w:val="12"/>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Indicadores de R</w:t>
      </w:r>
      <w:r w:rsidR="00F61D4B" w:rsidRPr="00AA0ABD">
        <w:rPr>
          <w:rFonts w:ascii="Averta" w:hAnsi="Averta" w:cs="Tahoma"/>
          <w:color w:val="000000" w:themeColor="text1"/>
          <w:sz w:val="22"/>
          <w:szCs w:val="22"/>
          <w:lang w:val="es-MX"/>
        </w:rPr>
        <w:t xml:space="preserve">esultados (Anexo </w:t>
      </w:r>
      <w:r w:rsidR="006F6186" w:rsidRPr="00AA0ABD">
        <w:rPr>
          <w:rFonts w:ascii="Averta" w:hAnsi="Averta" w:cs="Tahoma"/>
          <w:color w:val="000000" w:themeColor="text1"/>
          <w:sz w:val="22"/>
          <w:szCs w:val="22"/>
          <w:lang w:val="es-MX"/>
        </w:rPr>
        <w:t>121</w:t>
      </w:r>
      <w:r w:rsidR="00F61D4B" w:rsidRPr="00AA0ABD">
        <w:rPr>
          <w:rFonts w:ascii="Averta" w:hAnsi="Averta" w:cs="Tahoma"/>
          <w:color w:val="000000" w:themeColor="text1"/>
          <w:sz w:val="22"/>
          <w:szCs w:val="22"/>
          <w:lang w:val="es-MX"/>
        </w:rPr>
        <w:t>).</w:t>
      </w:r>
    </w:p>
    <w:p w14:paraId="48ABCDA8" w14:textId="77777777" w:rsidR="00F61D4B" w:rsidRPr="00AA0ABD" w:rsidRDefault="00F61D4B" w:rsidP="000866AE">
      <w:pPr>
        <w:ind w:right="49"/>
        <w:jc w:val="both"/>
        <w:rPr>
          <w:rFonts w:ascii="Averta" w:hAnsi="Averta" w:cs="Tahoma"/>
          <w:color w:val="000000" w:themeColor="text1"/>
          <w:sz w:val="22"/>
          <w:szCs w:val="22"/>
          <w:lang w:val="es-MX"/>
        </w:rPr>
      </w:pPr>
    </w:p>
    <w:p w14:paraId="0A01630C" w14:textId="77777777" w:rsidR="00F61D4B" w:rsidRPr="00AA0ABD" w:rsidRDefault="00F61D4B" w:rsidP="000866AE">
      <w:pPr>
        <w:numPr>
          <w:ilvl w:val="0"/>
          <w:numId w:val="10"/>
        </w:numPr>
        <w:ind w:left="426" w:right="49" w:hanging="426"/>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Información complementaria:</w:t>
      </w:r>
    </w:p>
    <w:p w14:paraId="724168F8" w14:textId="2B4A5A11"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Relación de </w:t>
      </w:r>
      <w:r w:rsidR="00E36A2D" w:rsidRPr="00AA0ABD">
        <w:rPr>
          <w:rFonts w:ascii="Averta" w:hAnsi="Averta" w:cs="Tahoma"/>
          <w:color w:val="000000" w:themeColor="text1"/>
          <w:sz w:val="22"/>
          <w:szCs w:val="22"/>
          <w:lang w:val="es-MX"/>
        </w:rPr>
        <w:t xml:space="preserve">Bienes Inmuebles </w:t>
      </w:r>
      <w:r w:rsidRPr="00AA0ABD">
        <w:rPr>
          <w:rFonts w:ascii="Averta" w:hAnsi="Averta" w:cs="Tahoma"/>
          <w:color w:val="000000" w:themeColor="text1"/>
          <w:sz w:val="22"/>
          <w:szCs w:val="22"/>
          <w:lang w:val="es-MX"/>
        </w:rPr>
        <w:t xml:space="preserve">que componen el </w:t>
      </w:r>
      <w:r w:rsidR="00E36A2D" w:rsidRPr="00AA0ABD">
        <w:rPr>
          <w:rFonts w:ascii="Averta" w:hAnsi="Averta" w:cs="Tahoma"/>
          <w:color w:val="000000" w:themeColor="text1"/>
          <w:sz w:val="22"/>
          <w:szCs w:val="22"/>
          <w:lang w:val="es-MX"/>
        </w:rPr>
        <w:t>Patrimonio</w:t>
      </w:r>
      <w:r w:rsidRPr="00AA0ABD">
        <w:rPr>
          <w:rFonts w:ascii="Averta" w:hAnsi="Averta" w:cs="Tahoma"/>
          <w:color w:val="000000" w:themeColor="text1"/>
          <w:sz w:val="22"/>
          <w:szCs w:val="22"/>
          <w:lang w:val="es-MX"/>
        </w:rPr>
        <w:t xml:space="preserve"> </w:t>
      </w:r>
      <w:r w:rsidR="00E36A2D" w:rsidRPr="00AA0ABD">
        <w:rPr>
          <w:rFonts w:ascii="Averta" w:hAnsi="Averta" w:cs="Tahoma"/>
          <w:color w:val="000000" w:themeColor="text1"/>
          <w:sz w:val="22"/>
          <w:szCs w:val="22"/>
          <w:lang w:val="es-MX"/>
        </w:rPr>
        <w:t xml:space="preserve">del Ente Público </w:t>
      </w:r>
      <w:r w:rsidRPr="00AA0ABD">
        <w:rPr>
          <w:rFonts w:ascii="Averta" w:hAnsi="Averta" w:cs="Tahoma"/>
          <w:color w:val="000000" w:themeColor="text1"/>
          <w:sz w:val="22"/>
          <w:szCs w:val="22"/>
          <w:lang w:val="es-MX"/>
        </w:rPr>
        <w:t xml:space="preserve">(Anexo </w:t>
      </w:r>
      <w:r w:rsidR="006F6186" w:rsidRPr="00AA0ABD">
        <w:rPr>
          <w:rFonts w:ascii="Averta" w:hAnsi="Averta" w:cs="Tahoma"/>
          <w:color w:val="000000" w:themeColor="text1"/>
          <w:sz w:val="22"/>
          <w:szCs w:val="22"/>
          <w:lang w:val="es-MX"/>
        </w:rPr>
        <w:t>122</w:t>
      </w:r>
      <w:r w:rsidRPr="00AA0ABD">
        <w:rPr>
          <w:rFonts w:ascii="Averta" w:hAnsi="Averta" w:cs="Tahoma"/>
          <w:color w:val="000000" w:themeColor="text1"/>
          <w:sz w:val="22"/>
          <w:szCs w:val="22"/>
          <w:lang w:val="es-MX"/>
        </w:rPr>
        <w:t>);</w:t>
      </w:r>
    </w:p>
    <w:p w14:paraId="5264F957" w14:textId="6BFAD182"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Relación de </w:t>
      </w:r>
      <w:r w:rsidR="00E36A2D" w:rsidRPr="00AA0ABD">
        <w:rPr>
          <w:rFonts w:ascii="Averta" w:hAnsi="Averta" w:cs="Tahoma"/>
          <w:color w:val="000000" w:themeColor="text1"/>
          <w:sz w:val="22"/>
          <w:szCs w:val="22"/>
          <w:lang w:val="es-MX"/>
        </w:rPr>
        <w:t xml:space="preserve">Bienes Muebles </w:t>
      </w:r>
      <w:r w:rsidRPr="00AA0ABD">
        <w:rPr>
          <w:rFonts w:ascii="Averta" w:hAnsi="Averta" w:cs="Tahoma"/>
          <w:color w:val="000000" w:themeColor="text1"/>
          <w:sz w:val="22"/>
          <w:szCs w:val="22"/>
          <w:lang w:val="es-MX"/>
        </w:rPr>
        <w:t xml:space="preserve">que componen el </w:t>
      </w:r>
      <w:r w:rsidR="00E36A2D" w:rsidRPr="00AA0ABD">
        <w:rPr>
          <w:rFonts w:ascii="Averta" w:hAnsi="Averta" w:cs="Tahoma"/>
          <w:color w:val="000000" w:themeColor="text1"/>
          <w:sz w:val="22"/>
          <w:szCs w:val="22"/>
          <w:lang w:val="es-MX"/>
        </w:rPr>
        <w:t>Patrimonio</w:t>
      </w:r>
      <w:r w:rsidR="008F7CD0" w:rsidRPr="00AA0ABD">
        <w:rPr>
          <w:rFonts w:ascii="Averta" w:hAnsi="Averta" w:cs="Tahoma"/>
          <w:color w:val="000000" w:themeColor="text1"/>
          <w:sz w:val="22"/>
          <w:szCs w:val="22"/>
          <w:lang w:val="es-MX"/>
        </w:rPr>
        <w:t xml:space="preserve"> del Ente Público</w:t>
      </w:r>
      <w:r w:rsidRPr="00AA0ABD">
        <w:rPr>
          <w:rFonts w:ascii="Averta" w:hAnsi="Averta" w:cs="Tahoma"/>
          <w:color w:val="000000" w:themeColor="text1"/>
          <w:sz w:val="22"/>
          <w:szCs w:val="22"/>
          <w:lang w:val="es-MX"/>
        </w:rPr>
        <w:t xml:space="preserve"> (Anexo </w:t>
      </w:r>
      <w:r w:rsidR="006F6186" w:rsidRPr="00AA0ABD">
        <w:rPr>
          <w:rFonts w:ascii="Averta" w:hAnsi="Averta" w:cs="Tahoma"/>
          <w:color w:val="000000" w:themeColor="text1"/>
          <w:sz w:val="22"/>
          <w:szCs w:val="22"/>
          <w:lang w:val="es-MX"/>
        </w:rPr>
        <w:t>123</w:t>
      </w:r>
      <w:r w:rsidR="00417F9A" w:rsidRPr="00AA0ABD">
        <w:rPr>
          <w:rFonts w:ascii="Averta" w:hAnsi="Averta" w:cs="Tahoma"/>
          <w:color w:val="000000" w:themeColor="text1"/>
          <w:sz w:val="22"/>
          <w:szCs w:val="22"/>
          <w:lang w:val="es-MX"/>
        </w:rPr>
        <w:t>)</w:t>
      </w:r>
      <w:r w:rsidR="00091E2B" w:rsidRPr="00AA0ABD">
        <w:rPr>
          <w:rFonts w:ascii="Averta" w:hAnsi="Averta" w:cs="Tahoma"/>
          <w:color w:val="000000" w:themeColor="text1"/>
          <w:sz w:val="22"/>
          <w:szCs w:val="22"/>
          <w:lang w:val="es-MX"/>
        </w:rPr>
        <w:t>;</w:t>
      </w:r>
    </w:p>
    <w:p w14:paraId="06BE5334" w14:textId="35FDFDB5"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Relación de </w:t>
      </w:r>
      <w:r w:rsidR="00377C7D" w:rsidRPr="00AA0ABD">
        <w:rPr>
          <w:rFonts w:ascii="Averta" w:hAnsi="Averta" w:cs="Tahoma"/>
          <w:color w:val="000000" w:themeColor="text1"/>
          <w:sz w:val="22"/>
          <w:szCs w:val="22"/>
          <w:lang w:val="es-MX"/>
        </w:rPr>
        <w:t xml:space="preserve">Cuentas Bancarias Productivas Específicas (Anexo </w:t>
      </w:r>
      <w:r w:rsidR="006F6186" w:rsidRPr="00AA0ABD">
        <w:rPr>
          <w:rFonts w:ascii="Averta" w:hAnsi="Averta" w:cs="Tahoma"/>
          <w:color w:val="000000" w:themeColor="text1"/>
          <w:sz w:val="22"/>
          <w:szCs w:val="22"/>
          <w:lang w:val="es-MX"/>
        </w:rPr>
        <w:t>124</w:t>
      </w:r>
      <w:r w:rsidRPr="00AA0ABD">
        <w:rPr>
          <w:rFonts w:ascii="Averta" w:hAnsi="Averta" w:cs="Tahoma"/>
          <w:color w:val="000000" w:themeColor="text1"/>
          <w:sz w:val="22"/>
          <w:szCs w:val="22"/>
          <w:lang w:val="es-MX"/>
        </w:rPr>
        <w:t>);</w:t>
      </w:r>
    </w:p>
    <w:p w14:paraId="4E8AA823" w14:textId="10445061" w:rsidR="00F61D4B" w:rsidRPr="00AA0ABD" w:rsidRDefault="00377C7D"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Ejercicio</w:t>
      </w:r>
      <w:r w:rsidR="00F61D4B" w:rsidRPr="00AA0ABD">
        <w:rPr>
          <w:rFonts w:ascii="Averta" w:hAnsi="Averta" w:cs="Tahoma"/>
          <w:color w:val="000000" w:themeColor="text1"/>
          <w:sz w:val="22"/>
          <w:szCs w:val="22"/>
          <w:lang w:val="es-MX"/>
        </w:rPr>
        <w:t xml:space="preserve"> y </w:t>
      </w:r>
      <w:r w:rsidRPr="00AA0ABD">
        <w:rPr>
          <w:rFonts w:ascii="Averta" w:hAnsi="Averta" w:cs="Tahoma"/>
          <w:color w:val="000000" w:themeColor="text1"/>
          <w:sz w:val="22"/>
          <w:szCs w:val="22"/>
          <w:lang w:val="es-MX"/>
        </w:rPr>
        <w:t>Destino</w:t>
      </w:r>
      <w:r w:rsidR="00F61D4B" w:rsidRPr="00AA0ABD">
        <w:rPr>
          <w:rFonts w:ascii="Averta" w:hAnsi="Averta" w:cs="Tahoma"/>
          <w:color w:val="000000" w:themeColor="text1"/>
          <w:sz w:val="22"/>
          <w:szCs w:val="22"/>
          <w:lang w:val="es-MX"/>
        </w:rPr>
        <w:t xml:space="preserve"> de </w:t>
      </w:r>
      <w:r w:rsidRPr="00AA0ABD">
        <w:rPr>
          <w:rFonts w:ascii="Averta" w:hAnsi="Averta" w:cs="Tahoma"/>
          <w:color w:val="000000" w:themeColor="text1"/>
          <w:sz w:val="22"/>
          <w:szCs w:val="22"/>
          <w:lang w:val="es-MX"/>
        </w:rPr>
        <w:t xml:space="preserve">Gasto Federalizado </w:t>
      </w:r>
      <w:r w:rsidR="00F61D4B" w:rsidRPr="00AA0ABD">
        <w:rPr>
          <w:rFonts w:ascii="Averta" w:hAnsi="Averta" w:cs="Tahoma"/>
          <w:color w:val="000000" w:themeColor="text1"/>
          <w:sz w:val="22"/>
          <w:szCs w:val="22"/>
          <w:lang w:val="es-MX"/>
        </w:rPr>
        <w:t xml:space="preserve">y </w:t>
      </w:r>
      <w:r w:rsidRPr="00AA0ABD">
        <w:rPr>
          <w:rFonts w:ascii="Averta" w:hAnsi="Averta" w:cs="Tahoma"/>
          <w:color w:val="000000" w:themeColor="text1"/>
          <w:sz w:val="22"/>
          <w:szCs w:val="22"/>
          <w:lang w:val="es-MX"/>
        </w:rPr>
        <w:t xml:space="preserve">Reintegros (Anual) (Anexo </w:t>
      </w:r>
      <w:r w:rsidR="00E7638D" w:rsidRPr="00AA0ABD">
        <w:rPr>
          <w:rFonts w:ascii="Averta" w:hAnsi="Averta" w:cs="Tahoma"/>
          <w:color w:val="000000" w:themeColor="text1"/>
          <w:sz w:val="22"/>
          <w:szCs w:val="22"/>
          <w:lang w:val="es-MX"/>
        </w:rPr>
        <w:t>125</w:t>
      </w:r>
      <w:r w:rsidR="00F61D4B" w:rsidRPr="00AA0ABD">
        <w:rPr>
          <w:rFonts w:ascii="Averta" w:hAnsi="Averta" w:cs="Tahoma"/>
          <w:color w:val="000000" w:themeColor="text1"/>
          <w:sz w:val="22"/>
          <w:szCs w:val="22"/>
          <w:lang w:val="es-MX"/>
        </w:rPr>
        <w:t>);</w:t>
      </w:r>
    </w:p>
    <w:p w14:paraId="38613409" w14:textId="6670BA14"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Relación de </w:t>
      </w:r>
      <w:r w:rsidR="00377C7D" w:rsidRPr="00AA0ABD">
        <w:rPr>
          <w:rFonts w:ascii="Averta" w:hAnsi="Averta" w:cs="Tahoma"/>
          <w:color w:val="000000" w:themeColor="text1"/>
          <w:sz w:val="22"/>
          <w:szCs w:val="22"/>
          <w:lang w:val="es-MX"/>
        </w:rPr>
        <w:t xml:space="preserve">Esquemas Bursátiles </w:t>
      </w:r>
      <w:r w:rsidRPr="00AA0ABD">
        <w:rPr>
          <w:rFonts w:ascii="Averta" w:hAnsi="Averta" w:cs="Tahoma"/>
          <w:color w:val="000000" w:themeColor="text1"/>
          <w:sz w:val="22"/>
          <w:szCs w:val="22"/>
          <w:lang w:val="es-MX"/>
        </w:rPr>
        <w:t xml:space="preserve">y de </w:t>
      </w:r>
      <w:r w:rsidR="00377C7D" w:rsidRPr="00AA0ABD">
        <w:rPr>
          <w:rFonts w:ascii="Averta" w:hAnsi="Averta" w:cs="Tahoma"/>
          <w:color w:val="000000" w:themeColor="text1"/>
          <w:sz w:val="22"/>
          <w:szCs w:val="22"/>
          <w:lang w:val="es-MX"/>
        </w:rPr>
        <w:t xml:space="preserve">Coberturas Financieras </w:t>
      </w:r>
      <w:r w:rsidR="00417F9A" w:rsidRPr="00AA0ABD">
        <w:rPr>
          <w:rFonts w:ascii="Averta" w:hAnsi="Averta" w:cs="Tahoma"/>
          <w:color w:val="000000" w:themeColor="text1"/>
          <w:sz w:val="22"/>
          <w:szCs w:val="22"/>
          <w:lang w:val="es-MX"/>
        </w:rPr>
        <w:t>(Anexo</w:t>
      </w:r>
      <w:r w:rsidR="00394F98" w:rsidRPr="00AA0ABD">
        <w:rPr>
          <w:rFonts w:ascii="Averta" w:hAnsi="Averta" w:cs="Tahoma"/>
          <w:color w:val="000000" w:themeColor="text1"/>
          <w:sz w:val="22"/>
          <w:szCs w:val="22"/>
          <w:lang w:val="es-MX"/>
        </w:rPr>
        <w:t xml:space="preserve"> </w:t>
      </w:r>
      <w:r w:rsidR="00A22CD7" w:rsidRPr="00AA0ABD">
        <w:rPr>
          <w:rFonts w:ascii="Averta" w:hAnsi="Averta" w:cs="Tahoma"/>
          <w:color w:val="000000" w:themeColor="text1"/>
          <w:sz w:val="22"/>
          <w:szCs w:val="22"/>
          <w:lang w:val="es-MX"/>
        </w:rPr>
        <w:t>126</w:t>
      </w:r>
      <w:r w:rsidR="00377C7D" w:rsidRPr="00AA0ABD">
        <w:rPr>
          <w:rFonts w:ascii="Averta" w:hAnsi="Averta" w:cs="Tahoma"/>
          <w:color w:val="000000" w:themeColor="text1"/>
          <w:sz w:val="22"/>
          <w:szCs w:val="22"/>
          <w:lang w:val="es-MX"/>
        </w:rPr>
        <w:t xml:space="preserve">); </w:t>
      </w:r>
    </w:p>
    <w:p w14:paraId="041617A3" w14:textId="78485C6B"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Clasificación </w:t>
      </w:r>
      <w:r w:rsidR="00377C7D" w:rsidRPr="00AA0ABD">
        <w:rPr>
          <w:rFonts w:ascii="Averta" w:hAnsi="Averta" w:cs="Tahoma"/>
          <w:color w:val="000000" w:themeColor="text1"/>
          <w:sz w:val="22"/>
          <w:szCs w:val="22"/>
          <w:lang w:val="es-MX"/>
        </w:rPr>
        <w:t>E</w:t>
      </w:r>
      <w:r w:rsidRPr="00AA0ABD">
        <w:rPr>
          <w:rFonts w:ascii="Averta" w:hAnsi="Averta" w:cs="Tahoma"/>
          <w:color w:val="000000" w:themeColor="text1"/>
          <w:sz w:val="22"/>
          <w:szCs w:val="22"/>
          <w:lang w:val="es-MX"/>
        </w:rPr>
        <w:t xml:space="preserve">conómica de los </w:t>
      </w:r>
      <w:r w:rsidR="00377C7D" w:rsidRPr="00AA0ABD">
        <w:rPr>
          <w:rFonts w:ascii="Averta" w:hAnsi="Averta" w:cs="Tahoma"/>
          <w:color w:val="000000" w:themeColor="text1"/>
          <w:sz w:val="22"/>
          <w:szCs w:val="22"/>
          <w:lang w:val="es-MX"/>
        </w:rPr>
        <w:t>I</w:t>
      </w:r>
      <w:r w:rsidRPr="00AA0ABD">
        <w:rPr>
          <w:rFonts w:ascii="Averta" w:hAnsi="Averta" w:cs="Tahoma"/>
          <w:color w:val="000000" w:themeColor="text1"/>
          <w:sz w:val="22"/>
          <w:szCs w:val="22"/>
          <w:lang w:val="es-MX"/>
        </w:rPr>
        <w:t xml:space="preserve">ngresos, de los </w:t>
      </w:r>
      <w:r w:rsidR="00377C7D" w:rsidRPr="00AA0ABD">
        <w:rPr>
          <w:rFonts w:ascii="Averta" w:hAnsi="Averta" w:cs="Tahoma"/>
          <w:color w:val="000000" w:themeColor="text1"/>
          <w:sz w:val="22"/>
          <w:szCs w:val="22"/>
          <w:lang w:val="es-MX"/>
        </w:rPr>
        <w:t>G</w:t>
      </w:r>
      <w:r w:rsidRPr="00AA0ABD">
        <w:rPr>
          <w:rFonts w:ascii="Averta" w:hAnsi="Averta" w:cs="Tahoma"/>
          <w:color w:val="000000" w:themeColor="text1"/>
          <w:sz w:val="22"/>
          <w:szCs w:val="22"/>
          <w:lang w:val="es-MX"/>
        </w:rPr>
        <w:t xml:space="preserve">astos y del </w:t>
      </w:r>
      <w:r w:rsidR="00377C7D" w:rsidRPr="00AA0ABD">
        <w:rPr>
          <w:rFonts w:ascii="Averta" w:hAnsi="Averta" w:cs="Tahoma"/>
          <w:color w:val="000000" w:themeColor="text1"/>
          <w:sz w:val="22"/>
          <w:szCs w:val="22"/>
          <w:lang w:val="es-MX"/>
        </w:rPr>
        <w:t>F</w:t>
      </w:r>
      <w:r w:rsidRPr="00AA0ABD">
        <w:rPr>
          <w:rFonts w:ascii="Averta" w:hAnsi="Averta" w:cs="Tahoma"/>
          <w:color w:val="000000" w:themeColor="text1"/>
          <w:sz w:val="22"/>
          <w:szCs w:val="22"/>
          <w:lang w:val="es-MX"/>
        </w:rPr>
        <w:t>inanciami</w:t>
      </w:r>
      <w:r w:rsidR="00377C7D" w:rsidRPr="00AA0ABD">
        <w:rPr>
          <w:rFonts w:ascii="Averta" w:hAnsi="Averta" w:cs="Tahoma"/>
          <w:color w:val="000000" w:themeColor="text1"/>
          <w:sz w:val="22"/>
          <w:szCs w:val="22"/>
          <w:lang w:val="es-MX"/>
        </w:rPr>
        <w:t>ento (Ente</w:t>
      </w:r>
      <w:r w:rsidR="008F7CD0" w:rsidRPr="00AA0ABD">
        <w:rPr>
          <w:rFonts w:ascii="Averta" w:hAnsi="Averta" w:cs="Tahoma"/>
          <w:color w:val="000000" w:themeColor="text1"/>
          <w:sz w:val="22"/>
          <w:szCs w:val="22"/>
          <w:lang w:val="es-MX"/>
        </w:rPr>
        <w:t>s</w:t>
      </w:r>
      <w:r w:rsidR="00377C7D" w:rsidRPr="00AA0ABD">
        <w:rPr>
          <w:rFonts w:ascii="Averta" w:hAnsi="Averta" w:cs="Tahoma"/>
          <w:color w:val="000000" w:themeColor="text1"/>
          <w:sz w:val="22"/>
          <w:szCs w:val="22"/>
          <w:lang w:val="es-MX"/>
        </w:rPr>
        <w:t xml:space="preserve"> Público</w:t>
      </w:r>
      <w:r w:rsidR="008F7CD0" w:rsidRPr="00AA0ABD">
        <w:rPr>
          <w:rFonts w:ascii="Averta" w:hAnsi="Averta" w:cs="Tahoma"/>
          <w:color w:val="000000" w:themeColor="text1"/>
          <w:sz w:val="22"/>
          <w:szCs w:val="22"/>
          <w:lang w:val="es-MX"/>
        </w:rPr>
        <w:t>s</w:t>
      </w:r>
      <w:r w:rsidR="00377C7D" w:rsidRPr="00AA0ABD">
        <w:rPr>
          <w:rFonts w:ascii="Averta" w:hAnsi="Averta" w:cs="Tahoma"/>
          <w:color w:val="000000" w:themeColor="text1"/>
          <w:sz w:val="22"/>
          <w:szCs w:val="22"/>
          <w:lang w:val="es-MX"/>
        </w:rPr>
        <w:t xml:space="preserve">) (Anexo </w:t>
      </w:r>
      <w:r w:rsidR="00A22CD7" w:rsidRPr="00AA0ABD">
        <w:rPr>
          <w:rFonts w:ascii="Averta" w:hAnsi="Averta" w:cs="Tahoma"/>
          <w:color w:val="000000" w:themeColor="text1"/>
          <w:sz w:val="22"/>
          <w:szCs w:val="22"/>
          <w:lang w:val="es-MX"/>
        </w:rPr>
        <w:t>127</w:t>
      </w:r>
      <w:r w:rsidR="00377C7D" w:rsidRPr="00AA0ABD">
        <w:rPr>
          <w:rFonts w:ascii="Averta" w:hAnsi="Averta" w:cs="Tahoma"/>
          <w:color w:val="000000" w:themeColor="text1"/>
          <w:sz w:val="22"/>
          <w:szCs w:val="22"/>
          <w:lang w:val="es-MX"/>
        </w:rPr>
        <w:t>); y</w:t>
      </w:r>
    </w:p>
    <w:p w14:paraId="5E957DF0" w14:textId="7C482F37" w:rsidR="00F61D4B" w:rsidRPr="00AA0ABD" w:rsidRDefault="00F61D4B" w:rsidP="000866AE">
      <w:pPr>
        <w:numPr>
          <w:ilvl w:val="0"/>
          <w:numId w:val="13"/>
        </w:numPr>
        <w:ind w:left="851" w:right="49" w:hanging="425"/>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Formato para la Difusión de los Resultados de las Evaluaciones de los </w:t>
      </w:r>
      <w:r w:rsidR="00377C7D" w:rsidRPr="00AA0ABD">
        <w:rPr>
          <w:rFonts w:ascii="Averta" w:hAnsi="Averta" w:cs="Tahoma"/>
          <w:color w:val="000000" w:themeColor="text1"/>
          <w:sz w:val="22"/>
          <w:szCs w:val="22"/>
          <w:lang w:val="es-MX"/>
        </w:rPr>
        <w:t xml:space="preserve">Recursos Federales </w:t>
      </w:r>
      <w:r w:rsidRPr="00AA0ABD">
        <w:rPr>
          <w:rFonts w:ascii="Averta" w:hAnsi="Averta" w:cs="Tahoma"/>
          <w:color w:val="000000" w:themeColor="text1"/>
          <w:sz w:val="22"/>
          <w:szCs w:val="22"/>
          <w:lang w:val="es-MX"/>
        </w:rPr>
        <w:t xml:space="preserve">ministrados a las </w:t>
      </w:r>
      <w:r w:rsidR="00377C7D" w:rsidRPr="00AA0ABD">
        <w:rPr>
          <w:rFonts w:ascii="Averta" w:hAnsi="Averta" w:cs="Tahoma"/>
          <w:color w:val="000000" w:themeColor="text1"/>
          <w:sz w:val="22"/>
          <w:szCs w:val="22"/>
          <w:lang w:val="es-MX"/>
        </w:rPr>
        <w:t xml:space="preserve">Entidades Federativas </w:t>
      </w:r>
      <w:r w:rsidRPr="00AA0ABD">
        <w:rPr>
          <w:rFonts w:ascii="Averta" w:hAnsi="Averta" w:cs="Tahoma"/>
          <w:color w:val="000000" w:themeColor="text1"/>
          <w:sz w:val="22"/>
          <w:szCs w:val="22"/>
          <w:lang w:val="es-MX"/>
        </w:rPr>
        <w:t>(</w:t>
      </w:r>
      <w:r w:rsidR="00417F9A" w:rsidRPr="00AA0ABD">
        <w:rPr>
          <w:rFonts w:ascii="Averta" w:hAnsi="Averta" w:cs="Tahoma"/>
          <w:color w:val="000000" w:themeColor="text1"/>
          <w:sz w:val="22"/>
          <w:szCs w:val="22"/>
          <w:lang w:val="es-MX"/>
        </w:rPr>
        <w:t xml:space="preserve">Anexo </w:t>
      </w:r>
      <w:r w:rsidR="00A22CD7" w:rsidRPr="00AA0ABD">
        <w:rPr>
          <w:rFonts w:ascii="Averta" w:hAnsi="Averta" w:cs="Tahoma"/>
          <w:color w:val="000000" w:themeColor="text1"/>
          <w:sz w:val="22"/>
          <w:szCs w:val="22"/>
          <w:lang w:val="es-MX"/>
        </w:rPr>
        <w:t>128</w:t>
      </w:r>
      <w:r w:rsidRPr="00AA0ABD">
        <w:rPr>
          <w:rFonts w:ascii="Averta" w:hAnsi="Averta" w:cs="Tahoma"/>
          <w:color w:val="000000" w:themeColor="text1"/>
          <w:sz w:val="22"/>
          <w:szCs w:val="22"/>
          <w:lang w:val="es-MX"/>
        </w:rPr>
        <w:t>).</w:t>
      </w:r>
    </w:p>
    <w:p w14:paraId="1FD3C092" w14:textId="0B0E766D" w:rsidR="00F61D4B" w:rsidRPr="00AA0ABD" w:rsidRDefault="00F61D4B" w:rsidP="000866AE">
      <w:pPr>
        <w:pStyle w:val="Ttulo1"/>
        <w:rPr>
          <w:rFonts w:ascii="Averta" w:hAnsi="Averta"/>
          <w:color w:val="000000" w:themeColor="text1"/>
          <w:sz w:val="22"/>
          <w:szCs w:val="22"/>
          <w:lang w:val="es-MX"/>
        </w:rPr>
      </w:pPr>
      <w:r w:rsidRPr="00AA0ABD">
        <w:rPr>
          <w:rFonts w:ascii="Averta" w:hAnsi="Averta"/>
          <w:color w:val="000000" w:themeColor="text1"/>
          <w:sz w:val="22"/>
          <w:szCs w:val="22"/>
          <w:lang w:val="es-MX"/>
        </w:rPr>
        <w:t>6.3</w:t>
      </w:r>
      <w:r w:rsidR="00C813D1" w:rsidRPr="00AA0ABD">
        <w:rPr>
          <w:rFonts w:ascii="Averta" w:hAnsi="Averta"/>
          <w:color w:val="000000" w:themeColor="text1"/>
          <w:sz w:val="22"/>
          <w:szCs w:val="22"/>
          <w:lang w:val="es-MX"/>
        </w:rPr>
        <w:t>.1.2.</w:t>
      </w:r>
      <w:r w:rsidR="00C813D1" w:rsidRPr="00AA0ABD">
        <w:rPr>
          <w:rFonts w:ascii="Averta" w:hAnsi="Averta"/>
          <w:color w:val="000000" w:themeColor="text1"/>
          <w:sz w:val="22"/>
          <w:szCs w:val="22"/>
          <w:lang w:val="es-MX"/>
        </w:rPr>
        <w:tab/>
      </w:r>
      <w:r w:rsidRPr="00AA0ABD">
        <w:rPr>
          <w:rFonts w:ascii="Averta" w:hAnsi="Averta"/>
          <w:color w:val="000000" w:themeColor="text1"/>
          <w:sz w:val="22"/>
          <w:szCs w:val="22"/>
          <w:lang w:val="es-MX"/>
        </w:rPr>
        <w:t>Información que establecen los Criterios para la elaboración y presentación homogénea de la información financiera y de los formatos a que hace referencia la Ley de Disciplina Financiera de las Entidades Federativas y los Municipios.</w:t>
      </w:r>
    </w:p>
    <w:p w14:paraId="198F5425" w14:textId="77777777" w:rsidR="00F61D4B" w:rsidRPr="00AA0ABD" w:rsidRDefault="00F61D4B" w:rsidP="000866AE">
      <w:pPr>
        <w:ind w:right="-93"/>
        <w:jc w:val="both"/>
        <w:rPr>
          <w:rFonts w:ascii="Averta" w:hAnsi="Averta" w:cs="Tahoma"/>
          <w:b/>
          <w:color w:val="000000" w:themeColor="text1"/>
          <w:sz w:val="22"/>
          <w:szCs w:val="22"/>
          <w:lang w:val="es-MX"/>
        </w:rPr>
      </w:pPr>
    </w:p>
    <w:p w14:paraId="2A9BBE46" w14:textId="0B8A2E9C" w:rsidR="00F61D4B" w:rsidRPr="00AA0ABD" w:rsidRDefault="00F61D4B" w:rsidP="000866AE">
      <w:pPr>
        <w:ind w:right="-93"/>
        <w:jc w:val="both"/>
        <w:rPr>
          <w:rFonts w:ascii="Averta" w:hAnsi="Averta" w:cs="Tahoma"/>
          <w:b/>
          <w:color w:val="000000" w:themeColor="text1"/>
          <w:sz w:val="22"/>
          <w:szCs w:val="22"/>
          <w:lang w:val="es-MX"/>
        </w:rPr>
      </w:pPr>
      <w:r w:rsidRPr="00AA0ABD">
        <w:rPr>
          <w:rFonts w:ascii="Averta" w:hAnsi="Averta" w:cs="Tahoma"/>
          <w:b/>
          <w:color w:val="000000" w:themeColor="text1"/>
          <w:sz w:val="22"/>
          <w:szCs w:val="22"/>
          <w:lang w:val="es-MX"/>
        </w:rPr>
        <w:t xml:space="preserve">Formatos: </w:t>
      </w:r>
    </w:p>
    <w:p w14:paraId="4F2AC6C6" w14:textId="77777777" w:rsidR="00B74B15" w:rsidRPr="00AA0ABD" w:rsidRDefault="00B74B15" w:rsidP="000866AE">
      <w:pPr>
        <w:ind w:right="-93"/>
        <w:jc w:val="both"/>
        <w:rPr>
          <w:rFonts w:ascii="Averta" w:hAnsi="Averta" w:cs="Tahoma"/>
          <w:b/>
          <w:color w:val="000000" w:themeColor="text1"/>
          <w:sz w:val="22"/>
          <w:szCs w:val="22"/>
          <w:lang w:val="es-MX"/>
        </w:rPr>
      </w:pPr>
    </w:p>
    <w:p w14:paraId="33DF4B10" w14:textId="66B7FD0D"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Estado de Situación Financiera Detallado LDF (Anexo </w:t>
      </w:r>
      <w:r w:rsidR="00C75D4B" w:rsidRPr="00AA0ABD">
        <w:rPr>
          <w:rFonts w:ascii="Averta" w:hAnsi="Averta" w:cs="Tahoma"/>
          <w:color w:val="000000" w:themeColor="text1"/>
          <w:sz w:val="22"/>
          <w:szCs w:val="22"/>
          <w:lang w:val="es-MX"/>
        </w:rPr>
        <w:t>129</w:t>
      </w:r>
      <w:r w:rsidRPr="00AA0ABD">
        <w:rPr>
          <w:rFonts w:ascii="Averta" w:hAnsi="Averta" w:cs="Tahoma"/>
          <w:color w:val="000000" w:themeColor="text1"/>
          <w:sz w:val="22"/>
          <w:szCs w:val="22"/>
          <w:lang w:val="es-MX"/>
        </w:rPr>
        <w:t>);</w:t>
      </w:r>
    </w:p>
    <w:p w14:paraId="184F712B" w14:textId="171D42A9"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Informe Analítico de la Deuda Pública y Otros Pasivos</w:t>
      </w:r>
      <w:r w:rsidR="00417F9A" w:rsidRPr="00AA0ABD">
        <w:rPr>
          <w:rFonts w:ascii="Averta" w:hAnsi="Averta" w:cs="Tahoma"/>
          <w:color w:val="000000" w:themeColor="text1"/>
          <w:sz w:val="22"/>
          <w:szCs w:val="22"/>
          <w:lang w:val="es-MX"/>
        </w:rPr>
        <w:t xml:space="preserve"> LDF</w:t>
      </w:r>
      <w:r w:rsidRPr="00AA0ABD">
        <w:rPr>
          <w:rFonts w:ascii="Averta" w:hAnsi="Averta" w:cs="Tahoma"/>
          <w:color w:val="000000" w:themeColor="text1"/>
          <w:sz w:val="22"/>
          <w:szCs w:val="22"/>
          <w:lang w:val="es-MX"/>
        </w:rPr>
        <w:t xml:space="preserve"> (Anexo </w:t>
      </w:r>
      <w:r w:rsidR="00C75D4B" w:rsidRPr="00AA0ABD">
        <w:rPr>
          <w:rFonts w:ascii="Averta" w:hAnsi="Averta" w:cs="Tahoma"/>
          <w:color w:val="000000" w:themeColor="text1"/>
          <w:sz w:val="22"/>
          <w:szCs w:val="22"/>
          <w:lang w:val="es-MX"/>
        </w:rPr>
        <w:t>130</w:t>
      </w:r>
      <w:r w:rsidRPr="00AA0ABD">
        <w:rPr>
          <w:rFonts w:ascii="Averta" w:hAnsi="Averta" w:cs="Tahoma"/>
          <w:color w:val="000000" w:themeColor="text1"/>
          <w:sz w:val="22"/>
          <w:szCs w:val="22"/>
          <w:lang w:val="es-MX"/>
        </w:rPr>
        <w:t>);</w:t>
      </w:r>
    </w:p>
    <w:p w14:paraId="3AB5359E" w14:textId="3903799E"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Informe Analítico de Obligaciones Diferentes de Financiamientos </w:t>
      </w:r>
      <w:r w:rsidR="00417F9A" w:rsidRPr="00AA0ABD">
        <w:rPr>
          <w:rFonts w:ascii="Averta" w:hAnsi="Averta" w:cs="Tahoma"/>
          <w:color w:val="000000" w:themeColor="text1"/>
          <w:sz w:val="22"/>
          <w:szCs w:val="22"/>
          <w:lang w:val="es-MX"/>
        </w:rPr>
        <w:t xml:space="preserve">LDF </w:t>
      </w:r>
      <w:r w:rsidRPr="00AA0ABD">
        <w:rPr>
          <w:rFonts w:ascii="Averta" w:hAnsi="Averta" w:cs="Tahoma"/>
          <w:color w:val="000000" w:themeColor="text1"/>
          <w:sz w:val="22"/>
          <w:szCs w:val="22"/>
          <w:lang w:val="es-MX"/>
        </w:rPr>
        <w:t xml:space="preserve">(Anexo </w:t>
      </w:r>
      <w:r w:rsidR="00C75D4B" w:rsidRPr="00AA0ABD">
        <w:rPr>
          <w:rFonts w:ascii="Averta" w:hAnsi="Averta" w:cs="Tahoma"/>
          <w:color w:val="000000" w:themeColor="text1"/>
          <w:sz w:val="22"/>
          <w:szCs w:val="22"/>
          <w:lang w:val="es-MX"/>
        </w:rPr>
        <w:t>131</w:t>
      </w:r>
      <w:r w:rsidRPr="00AA0ABD">
        <w:rPr>
          <w:rFonts w:ascii="Averta" w:hAnsi="Averta" w:cs="Tahoma"/>
          <w:color w:val="000000" w:themeColor="text1"/>
          <w:sz w:val="22"/>
          <w:szCs w:val="22"/>
          <w:lang w:val="es-MX"/>
        </w:rPr>
        <w:t>);</w:t>
      </w:r>
    </w:p>
    <w:p w14:paraId="54D6D4AD" w14:textId="555D6529"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Balance Presupuestario </w:t>
      </w:r>
      <w:r w:rsidR="00417F9A" w:rsidRPr="00AA0ABD">
        <w:rPr>
          <w:rFonts w:ascii="Averta" w:hAnsi="Averta" w:cs="Tahoma"/>
          <w:color w:val="000000" w:themeColor="text1"/>
          <w:sz w:val="22"/>
          <w:szCs w:val="22"/>
          <w:lang w:val="es-MX"/>
        </w:rPr>
        <w:t xml:space="preserve">LDF </w:t>
      </w:r>
      <w:r w:rsidRPr="00AA0ABD">
        <w:rPr>
          <w:rFonts w:ascii="Averta" w:hAnsi="Averta" w:cs="Tahoma"/>
          <w:color w:val="000000" w:themeColor="text1"/>
          <w:sz w:val="22"/>
          <w:szCs w:val="22"/>
          <w:lang w:val="es-MX"/>
        </w:rPr>
        <w:t xml:space="preserve">(Anexo </w:t>
      </w:r>
      <w:r w:rsidR="00C75D4B" w:rsidRPr="00AA0ABD">
        <w:rPr>
          <w:rFonts w:ascii="Averta" w:hAnsi="Averta" w:cs="Tahoma"/>
          <w:color w:val="000000" w:themeColor="text1"/>
          <w:sz w:val="22"/>
          <w:szCs w:val="22"/>
          <w:lang w:val="es-MX"/>
        </w:rPr>
        <w:t>132</w:t>
      </w:r>
      <w:r w:rsidRPr="00AA0ABD">
        <w:rPr>
          <w:rFonts w:ascii="Averta" w:hAnsi="Averta" w:cs="Tahoma"/>
          <w:color w:val="000000" w:themeColor="text1"/>
          <w:sz w:val="22"/>
          <w:szCs w:val="22"/>
          <w:lang w:val="es-MX"/>
        </w:rPr>
        <w:t>);</w:t>
      </w:r>
    </w:p>
    <w:p w14:paraId="50A9C85D" w14:textId="7AFEA9A9"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Estado Analítico de Ingresos Detallado</w:t>
      </w:r>
      <w:r w:rsidR="00882237" w:rsidRPr="00AA0ABD">
        <w:rPr>
          <w:rFonts w:ascii="Averta" w:hAnsi="Averta" w:cs="Tahoma"/>
          <w:color w:val="000000" w:themeColor="text1"/>
          <w:sz w:val="22"/>
          <w:szCs w:val="22"/>
          <w:lang w:val="es-MX"/>
        </w:rPr>
        <w:t xml:space="preserve"> LDF</w:t>
      </w:r>
      <w:r w:rsidRPr="00AA0ABD">
        <w:rPr>
          <w:rFonts w:ascii="Averta" w:hAnsi="Averta" w:cs="Tahoma"/>
          <w:color w:val="000000" w:themeColor="text1"/>
          <w:sz w:val="22"/>
          <w:szCs w:val="22"/>
          <w:lang w:val="es-MX"/>
        </w:rPr>
        <w:t xml:space="preserve"> (</w:t>
      </w:r>
      <w:r w:rsidR="00417F9A" w:rsidRPr="00AA0ABD">
        <w:rPr>
          <w:rFonts w:ascii="Averta" w:hAnsi="Averta" w:cs="Tahoma"/>
          <w:color w:val="000000" w:themeColor="text1"/>
          <w:sz w:val="22"/>
          <w:szCs w:val="22"/>
          <w:lang w:val="es-MX"/>
        </w:rPr>
        <w:t xml:space="preserve">Anexo </w:t>
      </w:r>
      <w:r w:rsidR="00C75D4B" w:rsidRPr="00AA0ABD">
        <w:rPr>
          <w:rFonts w:ascii="Averta" w:hAnsi="Averta" w:cs="Tahoma"/>
          <w:color w:val="000000" w:themeColor="text1"/>
          <w:sz w:val="22"/>
          <w:szCs w:val="22"/>
          <w:lang w:val="es-MX"/>
        </w:rPr>
        <w:t>133</w:t>
      </w:r>
      <w:r w:rsidRPr="00AA0ABD">
        <w:rPr>
          <w:rFonts w:ascii="Averta" w:hAnsi="Averta" w:cs="Tahoma"/>
          <w:color w:val="000000" w:themeColor="text1"/>
          <w:sz w:val="22"/>
          <w:szCs w:val="22"/>
          <w:lang w:val="es-MX"/>
        </w:rPr>
        <w:t>);</w:t>
      </w:r>
    </w:p>
    <w:p w14:paraId="1C78779F" w14:textId="77878E09"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Estado Analítico del Ejercicio del Presupuesto de Egresos Detallado</w:t>
      </w:r>
      <w:r w:rsidR="00417F9A" w:rsidRPr="00AA0ABD">
        <w:rPr>
          <w:rFonts w:ascii="Averta" w:hAnsi="Averta" w:cs="Tahoma"/>
          <w:color w:val="000000" w:themeColor="text1"/>
          <w:sz w:val="22"/>
          <w:szCs w:val="22"/>
          <w:lang w:val="es-MX"/>
        </w:rPr>
        <w:t xml:space="preserve"> LDF</w:t>
      </w:r>
      <w:r w:rsidR="00091E2B" w:rsidRPr="00AA0ABD">
        <w:rPr>
          <w:rFonts w:ascii="Averta" w:hAnsi="Averta" w:cs="Tahoma"/>
          <w:color w:val="000000" w:themeColor="text1"/>
          <w:sz w:val="22"/>
          <w:szCs w:val="22"/>
          <w:lang w:val="es-MX"/>
        </w:rPr>
        <w:t>:</w:t>
      </w:r>
    </w:p>
    <w:p w14:paraId="5491CE73" w14:textId="16BFBB72" w:rsidR="00F61D4B" w:rsidRPr="00AA0ABD" w:rsidRDefault="00F61D4B" w:rsidP="000866AE">
      <w:pPr>
        <w:pStyle w:val="Prrafodelista"/>
        <w:numPr>
          <w:ilvl w:val="0"/>
          <w:numId w:val="23"/>
        </w:numPr>
        <w:ind w:left="709" w:right="-93"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Clasificación por Objeto </w:t>
      </w:r>
      <w:r w:rsidR="00DF2228" w:rsidRPr="00AA0ABD">
        <w:rPr>
          <w:rFonts w:ascii="Averta" w:hAnsi="Averta" w:cs="Tahoma"/>
          <w:color w:val="000000" w:themeColor="text1"/>
          <w:sz w:val="22"/>
          <w:szCs w:val="22"/>
          <w:lang w:val="es-MX"/>
        </w:rPr>
        <w:t>del Gasto (Capítulo y Concepto)</w:t>
      </w:r>
      <w:r w:rsidRPr="00AA0ABD">
        <w:rPr>
          <w:rFonts w:ascii="Averta" w:hAnsi="Averta" w:cs="Tahoma"/>
          <w:color w:val="000000" w:themeColor="text1"/>
          <w:sz w:val="22"/>
          <w:szCs w:val="22"/>
          <w:lang w:val="es-MX"/>
        </w:rPr>
        <w:t xml:space="preserve">, Formato 6a (Anexo </w:t>
      </w:r>
      <w:r w:rsidR="00C75D4B" w:rsidRPr="00AA0ABD">
        <w:rPr>
          <w:rFonts w:ascii="Averta" w:hAnsi="Averta" w:cs="Tahoma"/>
          <w:color w:val="000000" w:themeColor="text1"/>
          <w:sz w:val="22"/>
          <w:szCs w:val="22"/>
          <w:lang w:val="es-MX"/>
        </w:rPr>
        <w:t>134</w:t>
      </w:r>
      <w:r w:rsidRPr="00AA0ABD">
        <w:rPr>
          <w:rFonts w:ascii="Averta" w:hAnsi="Averta" w:cs="Tahoma"/>
          <w:color w:val="000000" w:themeColor="text1"/>
          <w:sz w:val="22"/>
          <w:szCs w:val="22"/>
          <w:lang w:val="es-MX"/>
        </w:rPr>
        <w:t>);</w:t>
      </w:r>
    </w:p>
    <w:p w14:paraId="78A9FAC0" w14:textId="5486D26A" w:rsidR="00F61D4B" w:rsidRPr="00AA0ABD" w:rsidRDefault="00DF2228" w:rsidP="000866AE">
      <w:pPr>
        <w:pStyle w:val="Prrafodelista"/>
        <w:numPr>
          <w:ilvl w:val="0"/>
          <w:numId w:val="23"/>
        </w:numPr>
        <w:spacing w:line="276" w:lineRule="auto"/>
        <w:ind w:left="709" w:right="-93"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Clasificación Administrativa</w:t>
      </w:r>
      <w:r w:rsidR="00DB35B4" w:rsidRPr="00AA0ABD">
        <w:rPr>
          <w:rFonts w:ascii="Averta" w:hAnsi="Averta" w:cs="Tahoma"/>
          <w:color w:val="000000" w:themeColor="text1"/>
          <w:sz w:val="22"/>
          <w:szCs w:val="22"/>
          <w:lang w:val="es-MX"/>
        </w:rPr>
        <w:t>, Formato 6b (Anexo</w:t>
      </w:r>
      <w:r w:rsidR="009D513C" w:rsidRPr="00AA0ABD">
        <w:rPr>
          <w:rFonts w:ascii="Averta" w:hAnsi="Averta" w:cs="Tahoma"/>
          <w:color w:val="000000" w:themeColor="text1"/>
          <w:sz w:val="22"/>
          <w:szCs w:val="22"/>
          <w:lang w:val="es-MX"/>
        </w:rPr>
        <w:t xml:space="preserve"> </w:t>
      </w:r>
      <w:r w:rsidR="00C75D4B" w:rsidRPr="00AA0ABD">
        <w:rPr>
          <w:rFonts w:ascii="Averta" w:hAnsi="Averta" w:cs="Tahoma"/>
          <w:color w:val="000000" w:themeColor="text1"/>
          <w:sz w:val="22"/>
          <w:szCs w:val="22"/>
          <w:lang w:val="es-MX"/>
        </w:rPr>
        <w:t>135</w:t>
      </w:r>
      <w:r w:rsidR="00F61D4B" w:rsidRPr="00AA0ABD">
        <w:rPr>
          <w:rFonts w:ascii="Averta" w:hAnsi="Averta" w:cs="Tahoma"/>
          <w:color w:val="000000" w:themeColor="text1"/>
          <w:sz w:val="22"/>
          <w:szCs w:val="22"/>
          <w:lang w:val="es-MX"/>
        </w:rPr>
        <w:t>);</w:t>
      </w:r>
    </w:p>
    <w:p w14:paraId="2C0583F3" w14:textId="534309B8" w:rsidR="00F61D4B" w:rsidRPr="00AA0ABD" w:rsidRDefault="00F61D4B" w:rsidP="000866AE">
      <w:pPr>
        <w:pStyle w:val="Prrafodelista"/>
        <w:numPr>
          <w:ilvl w:val="0"/>
          <w:numId w:val="23"/>
        </w:numPr>
        <w:ind w:left="709" w:right="-93"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 xml:space="preserve">Clasificación Funcional, Formato 6c (Anexo </w:t>
      </w:r>
      <w:r w:rsidR="00C75D4B" w:rsidRPr="00AA0ABD">
        <w:rPr>
          <w:rFonts w:ascii="Averta" w:hAnsi="Averta" w:cs="Tahoma"/>
          <w:color w:val="000000" w:themeColor="text1"/>
          <w:sz w:val="22"/>
          <w:szCs w:val="22"/>
          <w:lang w:val="es-MX"/>
        </w:rPr>
        <w:t>136</w:t>
      </w:r>
      <w:r w:rsidRPr="00AA0ABD">
        <w:rPr>
          <w:rFonts w:ascii="Averta" w:hAnsi="Averta" w:cs="Tahoma"/>
          <w:color w:val="000000" w:themeColor="text1"/>
          <w:sz w:val="22"/>
          <w:szCs w:val="22"/>
          <w:lang w:val="es-MX"/>
        </w:rPr>
        <w:t>); y</w:t>
      </w:r>
    </w:p>
    <w:p w14:paraId="6AA3BFD7" w14:textId="4DD8B02F" w:rsidR="00F61D4B" w:rsidRPr="00AA0ABD" w:rsidRDefault="00F61D4B" w:rsidP="000866AE">
      <w:pPr>
        <w:pStyle w:val="Prrafodelista"/>
        <w:numPr>
          <w:ilvl w:val="0"/>
          <w:numId w:val="23"/>
        </w:numPr>
        <w:ind w:left="709" w:right="-93" w:hanging="283"/>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Clasificación de Servicios Personales por Categoría, Formato 6d (</w:t>
      </w:r>
      <w:r w:rsidR="00DB35B4" w:rsidRPr="00AA0ABD">
        <w:rPr>
          <w:rFonts w:ascii="Averta" w:hAnsi="Averta" w:cs="Tahoma"/>
          <w:color w:val="000000" w:themeColor="text1"/>
          <w:sz w:val="22"/>
          <w:szCs w:val="22"/>
          <w:lang w:val="es-MX"/>
        </w:rPr>
        <w:t xml:space="preserve">Anexo </w:t>
      </w:r>
      <w:r w:rsidR="00C75D4B" w:rsidRPr="00AA0ABD">
        <w:rPr>
          <w:rFonts w:ascii="Averta" w:hAnsi="Averta" w:cs="Tahoma"/>
          <w:color w:val="000000" w:themeColor="text1"/>
          <w:sz w:val="22"/>
          <w:szCs w:val="22"/>
          <w:lang w:val="es-MX"/>
        </w:rPr>
        <w:t>137</w:t>
      </w:r>
      <w:r w:rsidRPr="00AA0ABD">
        <w:rPr>
          <w:rFonts w:ascii="Averta" w:hAnsi="Averta" w:cs="Tahoma"/>
          <w:color w:val="000000" w:themeColor="text1"/>
          <w:sz w:val="22"/>
          <w:szCs w:val="22"/>
          <w:lang w:val="es-MX"/>
        </w:rPr>
        <w:t>)</w:t>
      </w:r>
      <w:r w:rsidR="00091E2B" w:rsidRPr="00AA0ABD">
        <w:rPr>
          <w:rFonts w:ascii="Averta" w:hAnsi="Averta" w:cs="Tahoma"/>
          <w:color w:val="000000" w:themeColor="text1"/>
          <w:sz w:val="22"/>
          <w:szCs w:val="22"/>
          <w:lang w:val="es-MX"/>
        </w:rPr>
        <w:t>.</w:t>
      </w:r>
    </w:p>
    <w:p w14:paraId="27038EA6" w14:textId="4E89F430" w:rsidR="00F61D4B" w:rsidRPr="00AA0ABD" w:rsidRDefault="00F61D4B" w:rsidP="000866AE">
      <w:pPr>
        <w:pStyle w:val="Prrafodelista"/>
        <w:numPr>
          <w:ilvl w:val="1"/>
          <w:numId w:val="18"/>
        </w:numPr>
        <w:ind w:left="426" w:right="-93" w:hanging="426"/>
        <w:jc w:val="both"/>
        <w:rPr>
          <w:rFonts w:ascii="Averta" w:hAnsi="Averta" w:cs="Tahoma"/>
          <w:color w:val="000000" w:themeColor="text1"/>
          <w:sz w:val="22"/>
          <w:szCs w:val="22"/>
          <w:lang w:val="es-MX"/>
        </w:rPr>
      </w:pPr>
      <w:r w:rsidRPr="00AA0ABD">
        <w:rPr>
          <w:rFonts w:ascii="Averta" w:hAnsi="Averta" w:cs="Tahoma"/>
          <w:color w:val="000000" w:themeColor="text1"/>
          <w:sz w:val="22"/>
          <w:szCs w:val="22"/>
          <w:lang w:val="es-MX"/>
        </w:rPr>
        <w:t>Guía de Cumplimiento de la Ley de Disciplina Financiera de las Entidades Federativas y los Municipios (</w:t>
      </w:r>
      <w:r w:rsidR="00DB35B4" w:rsidRPr="00AA0ABD">
        <w:rPr>
          <w:rFonts w:ascii="Averta" w:hAnsi="Averta" w:cs="Tahoma"/>
          <w:color w:val="000000" w:themeColor="text1"/>
          <w:sz w:val="22"/>
          <w:szCs w:val="22"/>
          <w:lang w:val="es-MX"/>
        </w:rPr>
        <w:t xml:space="preserve">Anexo </w:t>
      </w:r>
      <w:r w:rsidR="00C75D4B" w:rsidRPr="00AA0ABD">
        <w:rPr>
          <w:rFonts w:ascii="Averta" w:hAnsi="Averta" w:cs="Tahoma"/>
          <w:color w:val="000000" w:themeColor="text1"/>
          <w:sz w:val="22"/>
          <w:szCs w:val="22"/>
          <w:lang w:val="es-MX"/>
        </w:rPr>
        <w:t>138</w:t>
      </w:r>
      <w:r w:rsidRPr="00AA0ABD">
        <w:rPr>
          <w:rFonts w:ascii="Averta" w:hAnsi="Averta" w:cs="Tahoma"/>
          <w:color w:val="000000" w:themeColor="text1"/>
          <w:sz w:val="22"/>
          <w:szCs w:val="22"/>
          <w:lang w:val="es-MX"/>
        </w:rPr>
        <w:t>).</w:t>
      </w:r>
    </w:p>
    <w:p w14:paraId="233248F0" w14:textId="223EB310" w:rsidR="00882237" w:rsidRPr="00AA0ABD" w:rsidRDefault="00882237" w:rsidP="000866AE">
      <w:pPr>
        <w:spacing w:after="200" w:line="276" w:lineRule="auto"/>
        <w:ind w:right="-93"/>
        <w:rPr>
          <w:rFonts w:ascii="Averta" w:hAnsi="Averta" w:cs="Tahoma"/>
          <w:color w:val="000000" w:themeColor="text1"/>
          <w:sz w:val="22"/>
          <w:szCs w:val="22"/>
          <w:lang w:val="es-MX"/>
        </w:rPr>
      </w:pPr>
    </w:p>
    <w:p w14:paraId="735109DF" w14:textId="1E88BD31" w:rsidR="00F61D4B" w:rsidRPr="00AA0ABD" w:rsidRDefault="00F61D4B" w:rsidP="00F668DE">
      <w:pPr>
        <w:pStyle w:val="Subttulo"/>
        <w:jc w:val="both"/>
        <w:rPr>
          <w:rFonts w:ascii="Averta" w:hAnsi="Averta"/>
          <w:color w:val="000000" w:themeColor="text1"/>
          <w:lang w:val="es-MX"/>
        </w:rPr>
      </w:pPr>
      <w:r w:rsidRPr="00AA0ABD">
        <w:rPr>
          <w:rFonts w:ascii="Averta" w:hAnsi="Averta"/>
          <w:color w:val="000000" w:themeColor="text1"/>
          <w:lang w:val="es-MX"/>
        </w:rPr>
        <w:t>6.3.2</w:t>
      </w:r>
      <w:r w:rsidR="00C813D1" w:rsidRPr="00AA0ABD">
        <w:rPr>
          <w:rFonts w:ascii="Averta" w:hAnsi="Averta"/>
          <w:color w:val="000000" w:themeColor="text1"/>
          <w:lang w:val="es-MX"/>
        </w:rPr>
        <w:t>.</w:t>
      </w:r>
      <w:r w:rsidR="00C813D1" w:rsidRPr="00AA0ABD">
        <w:rPr>
          <w:rFonts w:ascii="Averta" w:hAnsi="Averta"/>
          <w:color w:val="000000" w:themeColor="text1"/>
          <w:lang w:val="es-MX"/>
        </w:rPr>
        <w:tab/>
      </w:r>
      <w:r w:rsidRPr="00AA0ABD">
        <w:rPr>
          <w:rFonts w:ascii="Averta" w:hAnsi="Averta"/>
          <w:color w:val="000000" w:themeColor="text1"/>
          <w:lang w:val="es-MX"/>
        </w:rPr>
        <w:t xml:space="preserve"> </w:t>
      </w:r>
      <w:bookmarkStart w:id="4" w:name="_Hlk182222960"/>
      <w:r w:rsidR="00D42B76" w:rsidRPr="00AA0ABD">
        <w:rPr>
          <w:rFonts w:ascii="Averta" w:hAnsi="Averta"/>
          <w:color w:val="000000" w:themeColor="text1"/>
          <w:lang w:val="es-MX"/>
        </w:rPr>
        <w:t>Requisitos específicos para la presentación de la información para la integración de la Cuenta Pública Estatal del ejercicio 2024:</w:t>
      </w:r>
      <w:bookmarkEnd w:id="4"/>
    </w:p>
    <w:p w14:paraId="62850DEC" w14:textId="77777777" w:rsidR="00B74B15" w:rsidRPr="00AA0ABD" w:rsidRDefault="00B74B15" w:rsidP="000866AE">
      <w:pPr>
        <w:ind w:right="-93"/>
        <w:jc w:val="both"/>
        <w:rPr>
          <w:rFonts w:ascii="Averta" w:hAnsi="Averta" w:cs="Tahoma"/>
          <w:b/>
          <w:color w:val="000000" w:themeColor="text1"/>
          <w:sz w:val="22"/>
          <w:szCs w:val="22"/>
          <w:lang w:val="es-MX"/>
        </w:rPr>
      </w:pPr>
    </w:p>
    <w:p w14:paraId="5A7F5E1F" w14:textId="67A6B9A5" w:rsidR="00D42B76" w:rsidRPr="00AA0ABD" w:rsidRDefault="00D42B76"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 xml:space="preserve">Designar un </w:t>
      </w:r>
      <w:r w:rsidRPr="00AA0ABD">
        <w:rPr>
          <w:rStyle w:val="Ttulo2Car"/>
          <w:rFonts w:ascii="Averta" w:eastAsiaTheme="majorEastAsia" w:hAnsi="Averta"/>
          <w:color w:val="000000" w:themeColor="text1"/>
          <w:sz w:val="22"/>
          <w:szCs w:val="22"/>
        </w:rPr>
        <w:t>enlace</w:t>
      </w:r>
      <w:r w:rsidRPr="00AA0ABD">
        <w:rPr>
          <w:rStyle w:val="Ttulo2Car"/>
          <w:rFonts w:ascii="Averta" w:eastAsiaTheme="majorEastAsia" w:hAnsi="Averta"/>
          <w:bCs/>
          <w:color w:val="000000" w:themeColor="text1"/>
          <w:sz w:val="22"/>
          <w:szCs w:val="22"/>
        </w:rPr>
        <w:t xml:space="preserve"> para atender lo relacionado a la presentación de información financiera para Cuenta Pública, proporcionando los datos del contacto.</w:t>
      </w:r>
    </w:p>
    <w:p w14:paraId="06F4B5D6" w14:textId="5C7C44BC" w:rsidR="00F61D4B" w:rsidRPr="00AA0ABD" w:rsidRDefault="00F61D4B"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lastRenderedPageBreak/>
        <w:t>Acudir a la Dirección</w:t>
      </w:r>
      <w:r w:rsidR="00D42B76" w:rsidRPr="00AA0ABD">
        <w:rPr>
          <w:rStyle w:val="Ttulo2Car"/>
          <w:rFonts w:ascii="Averta" w:eastAsiaTheme="majorEastAsia" w:hAnsi="Averta"/>
          <w:bCs/>
          <w:color w:val="000000" w:themeColor="text1"/>
          <w:sz w:val="22"/>
          <w:szCs w:val="22"/>
        </w:rPr>
        <w:t xml:space="preserve"> de Armonización y Configuración Contable, adscrita a la Dirección</w:t>
      </w:r>
      <w:r w:rsidRPr="00AA0ABD">
        <w:rPr>
          <w:rStyle w:val="Ttulo2Car"/>
          <w:rFonts w:ascii="Averta" w:eastAsiaTheme="majorEastAsia" w:hAnsi="Averta"/>
          <w:bCs/>
          <w:color w:val="000000" w:themeColor="text1"/>
          <w:sz w:val="22"/>
          <w:szCs w:val="22"/>
        </w:rPr>
        <w:t xml:space="preserve"> </w:t>
      </w:r>
      <w:r w:rsidR="002F463D" w:rsidRPr="00AA0ABD">
        <w:rPr>
          <w:rStyle w:val="Ttulo2Car"/>
          <w:rFonts w:ascii="Averta" w:eastAsiaTheme="majorEastAsia" w:hAnsi="Averta"/>
          <w:bCs/>
          <w:color w:val="000000" w:themeColor="text1"/>
          <w:sz w:val="22"/>
          <w:szCs w:val="22"/>
        </w:rPr>
        <w:t xml:space="preserve">General </w:t>
      </w:r>
      <w:r w:rsidRPr="00AA0ABD">
        <w:rPr>
          <w:rStyle w:val="Ttulo2Car"/>
          <w:rFonts w:ascii="Averta" w:eastAsiaTheme="majorEastAsia" w:hAnsi="Averta"/>
          <w:bCs/>
          <w:color w:val="000000" w:themeColor="text1"/>
          <w:sz w:val="22"/>
          <w:szCs w:val="22"/>
        </w:rPr>
        <w:t>de Contabilidad Gubernamental de</w:t>
      </w:r>
      <w:r w:rsidR="00EB1E3F" w:rsidRPr="00AA0ABD">
        <w:rPr>
          <w:rStyle w:val="Ttulo2Car"/>
          <w:rFonts w:ascii="Averta" w:eastAsiaTheme="majorEastAsia" w:hAnsi="Averta"/>
          <w:bCs/>
          <w:color w:val="000000" w:themeColor="text1"/>
          <w:sz w:val="22"/>
          <w:szCs w:val="22"/>
        </w:rPr>
        <w:t xml:space="preserve"> la</w:t>
      </w:r>
      <w:r w:rsidRPr="00AA0ABD">
        <w:rPr>
          <w:rStyle w:val="Ttulo2Car"/>
          <w:rFonts w:ascii="Averta" w:eastAsiaTheme="majorEastAsia" w:hAnsi="Averta"/>
          <w:bCs/>
          <w:color w:val="000000" w:themeColor="text1"/>
          <w:sz w:val="22"/>
          <w:szCs w:val="22"/>
        </w:rPr>
        <w:t xml:space="preserve"> </w:t>
      </w:r>
      <w:r w:rsidRPr="00AA0ABD">
        <w:rPr>
          <w:rFonts w:ascii="Averta" w:hAnsi="Averta" w:cs="Tahoma"/>
          <w:color w:val="000000" w:themeColor="text1"/>
          <w:sz w:val="22"/>
          <w:szCs w:val="22"/>
          <w:lang w:val="es-MX" w:eastAsia="es-MX"/>
        </w:rPr>
        <w:t>SAFIN</w:t>
      </w:r>
      <w:r w:rsidRPr="00AA0ABD">
        <w:rPr>
          <w:rStyle w:val="Ttulo2Car"/>
          <w:rFonts w:ascii="Averta" w:eastAsiaTheme="majorEastAsia" w:hAnsi="Averta"/>
          <w:bCs/>
          <w:color w:val="000000" w:themeColor="text1"/>
          <w:sz w:val="22"/>
          <w:szCs w:val="22"/>
        </w:rPr>
        <w:t xml:space="preserve"> </w:t>
      </w:r>
      <w:r w:rsidR="00C21BA5" w:rsidRPr="00AA0ABD">
        <w:rPr>
          <w:rStyle w:val="Ttulo2Car"/>
          <w:rFonts w:ascii="Averta" w:eastAsiaTheme="majorEastAsia" w:hAnsi="Averta"/>
          <w:bCs/>
          <w:color w:val="000000" w:themeColor="text1"/>
          <w:sz w:val="22"/>
          <w:szCs w:val="22"/>
        </w:rPr>
        <w:t>a conciliar</w:t>
      </w:r>
      <w:r w:rsidR="00D42B76" w:rsidRPr="00AA0ABD">
        <w:rPr>
          <w:rStyle w:val="Ttulo2Car"/>
          <w:rFonts w:ascii="Averta" w:eastAsiaTheme="majorEastAsia" w:hAnsi="Averta"/>
          <w:bCs/>
          <w:color w:val="000000" w:themeColor="text1"/>
          <w:sz w:val="22"/>
          <w:szCs w:val="22"/>
        </w:rPr>
        <w:t xml:space="preserve"> los recursos transferidos</w:t>
      </w:r>
      <w:r w:rsidR="00C21BA5" w:rsidRPr="00AA0ABD">
        <w:rPr>
          <w:rStyle w:val="Ttulo2Car"/>
          <w:rFonts w:ascii="Averta" w:eastAsiaTheme="majorEastAsia" w:hAnsi="Averta"/>
          <w:bCs/>
          <w:color w:val="000000" w:themeColor="text1"/>
          <w:sz w:val="22"/>
          <w:szCs w:val="22"/>
        </w:rPr>
        <w:t xml:space="preserve"> </w:t>
      </w:r>
      <w:r w:rsidR="00D42B76" w:rsidRPr="00AA0ABD">
        <w:rPr>
          <w:rStyle w:val="Ttulo2Car"/>
          <w:rFonts w:ascii="Averta" w:eastAsiaTheme="majorEastAsia" w:hAnsi="Averta"/>
          <w:bCs/>
          <w:color w:val="000000" w:themeColor="text1"/>
          <w:sz w:val="22"/>
          <w:szCs w:val="22"/>
        </w:rPr>
        <w:t xml:space="preserve">por el Poder Ejecutivo </w:t>
      </w:r>
      <w:r w:rsidR="00C21BA5" w:rsidRPr="00AA0ABD">
        <w:rPr>
          <w:rStyle w:val="Ttulo2Car"/>
          <w:rFonts w:ascii="Averta" w:eastAsiaTheme="majorEastAsia" w:hAnsi="Averta"/>
          <w:bCs/>
          <w:color w:val="000000" w:themeColor="text1"/>
          <w:sz w:val="22"/>
          <w:szCs w:val="22"/>
        </w:rPr>
        <w:t xml:space="preserve">a cada ente, </w:t>
      </w:r>
      <w:r w:rsidRPr="00AA0ABD">
        <w:rPr>
          <w:rStyle w:val="Ttulo2Car"/>
          <w:rFonts w:ascii="Averta" w:eastAsiaTheme="majorEastAsia" w:hAnsi="Averta"/>
          <w:bCs/>
          <w:color w:val="000000" w:themeColor="text1"/>
          <w:sz w:val="22"/>
          <w:szCs w:val="22"/>
        </w:rPr>
        <w:t xml:space="preserve">en las fechas que se establezcan mediante oficio. </w:t>
      </w:r>
    </w:p>
    <w:p w14:paraId="130CF700" w14:textId="1A269021" w:rsidR="00EC1E4E" w:rsidRPr="00AA0ABD" w:rsidRDefault="00C21BA5"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 xml:space="preserve">Con el fin de armonizar la presentación de la información financiera, los </w:t>
      </w:r>
      <w:r w:rsidR="00342E96" w:rsidRPr="00AA0ABD">
        <w:rPr>
          <w:rFonts w:ascii="Averta" w:hAnsi="Averta" w:cs="Tahoma"/>
          <w:color w:val="000000" w:themeColor="text1"/>
          <w:sz w:val="22"/>
          <w:szCs w:val="22"/>
          <w:lang w:val="es-MX" w:eastAsia="es-MX"/>
        </w:rPr>
        <w:t>Entes Públicos</w:t>
      </w:r>
      <w:r w:rsidRPr="00AA0ABD">
        <w:rPr>
          <w:rStyle w:val="Ttulo2Car"/>
          <w:rFonts w:ascii="Averta" w:eastAsiaTheme="majorEastAsia" w:hAnsi="Averta"/>
          <w:bCs/>
          <w:color w:val="000000" w:themeColor="text1"/>
          <w:sz w:val="22"/>
          <w:szCs w:val="22"/>
        </w:rPr>
        <w:t xml:space="preserve"> del Estado, deberán capturar en la </w:t>
      </w:r>
      <w:r w:rsidR="00F61D4B" w:rsidRPr="00AA0ABD">
        <w:rPr>
          <w:rStyle w:val="Ttulo2Car"/>
          <w:rFonts w:ascii="Averta" w:eastAsiaTheme="majorEastAsia" w:hAnsi="Averta"/>
          <w:bCs/>
          <w:color w:val="000000" w:themeColor="text1"/>
          <w:sz w:val="22"/>
          <w:szCs w:val="22"/>
        </w:rPr>
        <w:t xml:space="preserve">página de internet: </w:t>
      </w:r>
      <w:hyperlink r:id="rId9" w:history="1">
        <w:r w:rsidR="00DF2228" w:rsidRPr="00AA0ABD">
          <w:rPr>
            <w:rStyle w:val="Hipervnculo"/>
            <w:rFonts w:ascii="Averta" w:eastAsiaTheme="majorEastAsia" w:hAnsi="Averta"/>
            <w:bCs/>
            <w:color w:val="000000" w:themeColor="text1"/>
            <w:sz w:val="22"/>
            <w:szCs w:val="22"/>
          </w:rPr>
          <w:t>https://consolidacion.safin.campeche.gob.mx</w:t>
        </w:r>
      </w:hyperlink>
      <w:r w:rsidR="00EC1E4E" w:rsidRPr="00AA0ABD">
        <w:rPr>
          <w:rStyle w:val="Ttulo2Car"/>
          <w:rFonts w:ascii="Averta" w:eastAsiaTheme="majorEastAsia" w:hAnsi="Averta"/>
          <w:bCs/>
          <w:color w:val="000000" w:themeColor="text1"/>
          <w:sz w:val="22"/>
          <w:szCs w:val="22"/>
        </w:rPr>
        <w:t xml:space="preserve"> los resultados obtenidos </w:t>
      </w:r>
      <w:r w:rsidR="00EC1E4E" w:rsidRPr="00AA0ABD">
        <w:rPr>
          <w:rStyle w:val="Ttulo2Car"/>
          <w:rFonts w:ascii="Averta" w:eastAsiaTheme="majorEastAsia" w:hAnsi="Averta"/>
          <w:b/>
          <w:bCs/>
          <w:color w:val="000000" w:themeColor="text1"/>
          <w:sz w:val="22"/>
          <w:szCs w:val="22"/>
        </w:rPr>
        <w:t>en pesos y centavos</w:t>
      </w:r>
      <w:r w:rsidR="00EC1E4E" w:rsidRPr="00AA0ABD">
        <w:rPr>
          <w:rStyle w:val="Ttulo2Car"/>
          <w:rFonts w:ascii="Averta" w:eastAsiaTheme="majorEastAsia" w:hAnsi="Averta"/>
          <w:bCs/>
          <w:color w:val="000000" w:themeColor="text1"/>
          <w:sz w:val="22"/>
          <w:szCs w:val="22"/>
        </w:rPr>
        <w:t xml:space="preserve"> del año anterior y del actual, considerando que los importes deben coincidir con lo presentado en la Cuenta Pública del ejercicio previo</w:t>
      </w:r>
      <w:r w:rsidR="00091E2B" w:rsidRPr="00AA0ABD">
        <w:rPr>
          <w:rStyle w:val="Ttulo2Car"/>
          <w:rFonts w:ascii="Averta" w:eastAsiaTheme="majorEastAsia" w:hAnsi="Averta"/>
          <w:bCs/>
          <w:color w:val="000000" w:themeColor="text1"/>
          <w:sz w:val="22"/>
          <w:szCs w:val="22"/>
        </w:rPr>
        <w:t>;</w:t>
      </w:r>
    </w:p>
    <w:p w14:paraId="4CBB4899" w14:textId="38FE2EB1" w:rsidR="00F61D4B" w:rsidRPr="00AA0ABD" w:rsidRDefault="00F61D4B"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Una vez capturada y validada la información, se podrán descargar los formatos mencionados anteriormente. En caso de que algún formulario no aplique para su Ente Público, deberá llenarse en ceros. Asimismo, se deberán agregar las firmas en cada uno de ellos</w:t>
      </w:r>
      <w:r w:rsidR="00091E2B" w:rsidRPr="00AA0ABD">
        <w:rPr>
          <w:rStyle w:val="Ttulo2Car"/>
          <w:rFonts w:ascii="Averta" w:eastAsiaTheme="majorEastAsia" w:hAnsi="Averta"/>
          <w:bCs/>
          <w:color w:val="000000" w:themeColor="text1"/>
          <w:sz w:val="22"/>
          <w:szCs w:val="22"/>
        </w:rPr>
        <w:t xml:space="preserve"> (pueden agregarse hasta tres);</w:t>
      </w:r>
      <w:r w:rsidRPr="00AA0ABD">
        <w:rPr>
          <w:rStyle w:val="Ttulo2Car"/>
          <w:rFonts w:ascii="Averta" w:eastAsiaTheme="majorEastAsia" w:hAnsi="Averta"/>
          <w:bCs/>
          <w:color w:val="000000" w:themeColor="text1"/>
          <w:sz w:val="22"/>
          <w:szCs w:val="22"/>
        </w:rPr>
        <w:t xml:space="preserve"> </w:t>
      </w:r>
    </w:p>
    <w:p w14:paraId="47DCF7D0" w14:textId="46580536" w:rsidR="00F61D4B" w:rsidRPr="00AA0ABD" w:rsidRDefault="00F61D4B"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Es importante mencionar que el proceso de la página de internet termina cuando se envía la i</w:t>
      </w:r>
      <w:r w:rsidR="00091E2B" w:rsidRPr="00AA0ABD">
        <w:rPr>
          <w:rStyle w:val="Ttulo2Car"/>
          <w:rFonts w:ascii="Averta" w:eastAsiaTheme="majorEastAsia" w:hAnsi="Averta"/>
          <w:bCs/>
          <w:color w:val="000000" w:themeColor="text1"/>
          <w:sz w:val="22"/>
          <w:szCs w:val="22"/>
        </w:rPr>
        <w:t>nformación a través de la misma;</w:t>
      </w:r>
      <w:r w:rsidRPr="00AA0ABD">
        <w:rPr>
          <w:rStyle w:val="Ttulo2Car"/>
          <w:rFonts w:ascii="Averta" w:eastAsiaTheme="majorEastAsia" w:hAnsi="Averta"/>
          <w:bCs/>
          <w:color w:val="000000" w:themeColor="text1"/>
          <w:sz w:val="22"/>
          <w:szCs w:val="22"/>
        </w:rPr>
        <w:t xml:space="preserve"> </w:t>
      </w:r>
    </w:p>
    <w:p w14:paraId="031BC56D" w14:textId="7CA68F3E" w:rsidR="00F61D4B" w:rsidRPr="00AA0ABD" w:rsidRDefault="00F61D4B" w:rsidP="000866AE">
      <w:pPr>
        <w:pStyle w:val="Prrafodelista"/>
        <w:numPr>
          <w:ilvl w:val="0"/>
          <w:numId w:val="29"/>
        </w:numPr>
        <w:ind w:left="426" w:right="-93"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 xml:space="preserve">Una vez concluido el punto anterior, la información deberá entregarse mediante oficio dirigido al titular de la </w:t>
      </w:r>
      <w:r w:rsidRPr="00AA0ABD">
        <w:rPr>
          <w:rFonts w:ascii="Averta" w:hAnsi="Averta" w:cs="Tahoma"/>
          <w:color w:val="000000" w:themeColor="text1"/>
          <w:sz w:val="22"/>
          <w:szCs w:val="22"/>
          <w:lang w:val="es-MX" w:eastAsia="es-MX"/>
        </w:rPr>
        <w:t>SAFIN</w:t>
      </w:r>
      <w:r w:rsidRPr="00AA0ABD">
        <w:rPr>
          <w:rStyle w:val="Ttulo2Car"/>
          <w:rFonts w:ascii="Averta" w:eastAsiaTheme="majorEastAsia" w:hAnsi="Averta"/>
          <w:bCs/>
          <w:color w:val="000000" w:themeColor="text1"/>
          <w:sz w:val="22"/>
          <w:szCs w:val="22"/>
        </w:rPr>
        <w:t xml:space="preserve">. La información financiera anexa al oficio se entregará en </w:t>
      </w:r>
      <w:r w:rsidR="00D42B76" w:rsidRPr="00AA0ABD">
        <w:rPr>
          <w:rStyle w:val="Ttulo2Car"/>
          <w:rFonts w:ascii="Averta" w:eastAsiaTheme="majorEastAsia" w:hAnsi="Averta"/>
          <w:b/>
          <w:bCs/>
          <w:color w:val="000000" w:themeColor="text1"/>
          <w:sz w:val="22"/>
          <w:szCs w:val="22"/>
        </w:rPr>
        <w:t>cuatro</w:t>
      </w:r>
      <w:r w:rsidR="00D42B76" w:rsidRPr="00AA0ABD">
        <w:rPr>
          <w:rStyle w:val="Ttulo2Car"/>
          <w:rFonts w:ascii="Averta" w:eastAsiaTheme="majorEastAsia" w:hAnsi="Averta"/>
          <w:bCs/>
          <w:color w:val="000000" w:themeColor="text1"/>
          <w:sz w:val="22"/>
          <w:szCs w:val="22"/>
        </w:rPr>
        <w:t xml:space="preserve"> </w:t>
      </w:r>
      <w:r w:rsidRPr="00AA0ABD">
        <w:rPr>
          <w:rStyle w:val="Ttulo2Car"/>
          <w:rFonts w:ascii="Averta" w:eastAsiaTheme="majorEastAsia" w:hAnsi="Averta"/>
          <w:b/>
          <w:bCs/>
          <w:color w:val="000000" w:themeColor="text1"/>
          <w:sz w:val="22"/>
          <w:szCs w:val="22"/>
        </w:rPr>
        <w:t>tantos originales</w:t>
      </w:r>
      <w:r w:rsidRPr="00AA0ABD">
        <w:rPr>
          <w:rStyle w:val="Ttulo2Car"/>
          <w:rFonts w:ascii="Averta" w:eastAsiaTheme="majorEastAsia" w:hAnsi="Averta"/>
          <w:bCs/>
          <w:color w:val="000000" w:themeColor="text1"/>
          <w:sz w:val="22"/>
          <w:szCs w:val="22"/>
        </w:rPr>
        <w:t xml:space="preserve"> </w:t>
      </w:r>
      <w:r w:rsidRPr="00AA0ABD">
        <w:rPr>
          <w:rStyle w:val="Ttulo2Car"/>
          <w:rFonts w:ascii="Averta" w:eastAsiaTheme="majorEastAsia" w:hAnsi="Averta"/>
          <w:b/>
          <w:bCs/>
          <w:color w:val="000000" w:themeColor="text1"/>
          <w:sz w:val="22"/>
          <w:szCs w:val="22"/>
        </w:rPr>
        <w:t>SIN ENGARGOLAR NI PERFORAR</w:t>
      </w:r>
      <w:r w:rsidRPr="00AA0ABD">
        <w:rPr>
          <w:rStyle w:val="Ttulo2Car"/>
          <w:rFonts w:ascii="Averta" w:eastAsiaTheme="majorEastAsia" w:hAnsi="Averta"/>
          <w:bCs/>
          <w:color w:val="000000" w:themeColor="text1"/>
          <w:sz w:val="22"/>
          <w:szCs w:val="22"/>
        </w:rPr>
        <w:t xml:space="preserve"> con las respectivas firmas </w:t>
      </w:r>
      <w:r w:rsidRPr="00AA0ABD">
        <w:rPr>
          <w:rFonts w:ascii="Averta" w:hAnsi="Averta" w:cs="Tahoma"/>
          <w:b/>
          <w:color w:val="000000" w:themeColor="text1"/>
          <w:sz w:val="22"/>
          <w:szCs w:val="22"/>
          <w:lang w:val="es-MX" w:eastAsia="es-MX"/>
        </w:rPr>
        <w:t>(tinta azul)</w:t>
      </w:r>
      <w:r w:rsidRPr="00AA0ABD">
        <w:rPr>
          <w:rStyle w:val="Ttulo2Car"/>
          <w:rFonts w:ascii="Averta" w:eastAsiaTheme="majorEastAsia" w:hAnsi="Averta"/>
          <w:bCs/>
          <w:color w:val="000000" w:themeColor="text1"/>
          <w:sz w:val="22"/>
          <w:szCs w:val="22"/>
        </w:rPr>
        <w:t xml:space="preserve"> de los servidores públicos responsables. (Enviar en sobre).</w:t>
      </w:r>
    </w:p>
    <w:p w14:paraId="5B71986C" w14:textId="77777777" w:rsidR="00F61D4B" w:rsidRPr="00AA0ABD" w:rsidRDefault="00F61D4B" w:rsidP="00B74B15">
      <w:pPr>
        <w:pStyle w:val="Prrafodelista"/>
        <w:numPr>
          <w:ilvl w:val="0"/>
          <w:numId w:val="29"/>
        </w:numPr>
        <w:ind w:left="426" w:hanging="426"/>
        <w:jc w:val="both"/>
        <w:rPr>
          <w:rFonts w:ascii="Averta" w:hAnsi="Averta" w:cs="Tahoma"/>
          <w:color w:val="000000" w:themeColor="text1"/>
          <w:sz w:val="22"/>
          <w:szCs w:val="22"/>
          <w:lang w:val="es-MX" w:eastAsia="es-MX"/>
        </w:rPr>
      </w:pPr>
      <w:r w:rsidRPr="00AA0ABD">
        <w:rPr>
          <w:rFonts w:ascii="Averta" w:hAnsi="Averta" w:cs="Tahoma"/>
          <w:color w:val="000000" w:themeColor="text1"/>
          <w:sz w:val="22"/>
          <w:szCs w:val="22"/>
          <w:lang w:val="es-MX" w:eastAsia="es-MX"/>
        </w:rPr>
        <w:t>Entregar la información financiera de acuerdo al orden del presente documento. (Art. 46 de la Ley General de Contabilidad Gubernamental); y</w:t>
      </w:r>
    </w:p>
    <w:p w14:paraId="2FF15F6C" w14:textId="7ABDE459" w:rsidR="00F61D4B" w:rsidRPr="00AA0ABD" w:rsidRDefault="00F61D4B" w:rsidP="00B74B15">
      <w:pPr>
        <w:pStyle w:val="Prrafodelista"/>
        <w:numPr>
          <w:ilvl w:val="0"/>
          <w:numId w:val="29"/>
        </w:numPr>
        <w:ind w:left="426" w:hanging="426"/>
        <w:jc w:val="both"/>
        <w:rPr>
          <w:rStyle w:val="Ttulo2Car"/>
          <w:rFonts w:ascii="Averta" w:eastAsiaTheme="majorEastAsia" w:hAnsi="Averta"/>
          <w:bCs/>
          <w:color w:val="000000" w:themeColor="text1"/>
          <w:sz w:val="22"/>
          <w:szCs w:val="22"/>
        </w:rPr>
      </w:pPr>
      <w:r w:rsidRPr="00AA0ABD">
        <w:rPr>
          <w:rStyle w:val="Ttulo2Car"/>
          <w:rFonts w:ascii="Averta" w:eastAsiaTheme="majorEastAsia" w:hAnsi="Averta"/>
          <w:bCs/>
          <w:color w:val="000000" w:themeColor="text1"/>
          <w:sz w:val="22"/>
          <w:szCs w:val="22"/>
        </w:rPr>
        <w:t>Se entregará un CD que contenga escaneados los formatos mencionados anteriormente, anexando los formatos de la Ley de Disciplina Financiera en Excel</w:t>
      </w:r>
      <w:r w:rsidR="00EC1E4E" w:rsidRPr="00AA0ABD">
        <w:rPr>
          <w:rStyle w:val="Ttulo2Car"/>
          <w:rFonts w:ascii="Averta" w:eastAsiaTheme="majorEastAsia" w:hAnsi="Averta"/>
          <w:bCs/>
          <w:color w:val="000000" w:themeColor="text1"/>
          <w:sz w:val="22"/>
          <w:szCs w:val="22"/>
        </w:rPr>
        <w:t xml:space="preserve"> y el archivo electrónico de los bienes muebles e inmuebles</w:t>
      </w:r>
      <w:r w:rsidRPr="00AA0ABD">
        <w:rPr>
          <w:rStyle w:val="Ttulo2Car"/>
          <w:rFonts w:ascii="Averta" w:eastAsiaTheme="majorEastAsia" w:hAnsi="Averta"/>
          <w:bCs/>
          <w:color w:val="000000" w:themeColor="text1"/>
          <w:sz w:val="22"/>
          <w:szCs w:val="22"/>
        </w:rPr>
        <w:t xml:space="preserve">. Es importante verificar </w:t>
      </w:r>
      <w:r w:rsidR="00EC1E4E" w:rsidRPr="00AA0ABD">
        <w:rPr>
          <w:rStyle w:val="Ttulo2Car"/>
          <w:rFonts w:ascii="Averta" w:eastAsiaTheme="majorEastAsia" w:hAnsi="Averta"/>
          <w:bCs/>
          <w:color w:val="000000" w:themeColor="text1"/>
          <w:sz w:val="22"/>
          <w:szCs w:val="22"/>
        </w:rPr>
        <w:t xml:space="preserve">la claridad y correcto </w:t>
      </w:r>
      <w:r w:rsidRPr="00AA0ABD">
        <w:rPr>
          <w:rStyle w:val="Ttulo2Car"/>
          <w:rFonts w:ascii="Averta" w:eastAsiaTheme="majorEastAsia" w:hAnsi="Averta"/>
          <w:bCs/>
          <w:color w:val="000000" w:themeColor="text1"/>
          <w:sz w:val="22"/>
          <w:szCs w:val="22"/>
        </w:rPr>
        <w:t>escaneo de los documentos</w:t>
      </w:r>
      <w:r w:rsidR="00144AA0" w:rsidRPr="00AA0ABD">
        <w:rPr>
          <w:rStyle w:val="Ttulo2Car"/>
          <w:rFonts w:ascii="Averta" w:eastAsiaTheme="majorEastAsia" w:hAnsi="Averta"/>
          <w:bCs/>
          <w:color w:val="000000" w:themeColor="text1"/>
          <w:sz w:val="22"/>
          <w:szCs w:val="22"/>
        </w:rPr>
        <w:t>,</w:t>
      </w:r>
      <w:r w:rsidRPr="00AA0ABD">
        <w:rPr>
          <w:rStyle w:val="Ttulo2Car"/>
          <w:rFonts w:ascii="Averta" w:eastAsiaTheme="majorEastAsia" w:hAnsi="Averta"/>
          <w:bCs/>
          <w:color w:val="000000" w:themeColor="text1"/>
          <w:sz w:val="22"/>
          <w:szCs w:val="22"/>
        </w:rPr>
        <w:t xml:space="preserve"> </w:t>
      </w:r>
      <w:r w:rsidR="00144AA0" w:rsidRPr="00AA0ABD">
        <w:rPr>
          <w:rStyle w:val="Ttulo2Car"/>
          <w:rFonts w:ascii="Averta" w:eastAsiaTheme="majorEastAsia" w:hAnsi="Averta"/>
          <w:bCs/>
          <w:color w:val="000000" w:themeColor="text1"/>
          <w:sz w:val="22"/>
          <w:szCs w:val="22"/>
        </w:rPr>
        <w:t xml:space="preserve">debido a que se utiliza para </w:t>
      </w:r>
      <w:r w:rsidRPr="00AA0ABD">
        <w:rPr>
          <w:rStyle w:val="Ttulo2Car"/>
          <w:rFonts w:ascii="Averta" w:eastAsiaTheme="majorEastAsia" w:hAnsi="Averta"/>
          <w:bCs/>
          <w:color w:val="000000" w:themeColor="text1"/>
          <w:sz w:val="22"/>
          <w:szCs w:val="22"/>
        </w:rPr>
        <w:t>publicar en páginas de internet.</w:t>
      </w:r>
    </w:p>
    <w:sectPr w:rsidR="00F61D4B" w:rsidRPr="00AA0ABD" w:rsidSect="003F0B55">
      <w:headerReference w:type="even" r:id="rId10"/>
      <w:headerReference w:type="default" r:id="rId11"/>
      <w:footerReference w:type="even" r:id="rId12"/>
      <w:footerReference w:type="default" r:id="rId13"/>
      <w:headerReference w:type="first" r:id="rId14"/>
      <w:footerReference w:type="first" r:id="rId15"/>
      <w:pgSz w:w="12240" w:h="15840" w:code="1"/>
      <w:pgMar w:top="1418" w:right="1325" w:bottom="1418" w:left="1701" w:header="709" w:footer="170" w:gutter="0"/>
      <w:pgNumType w:start="35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F8A23" w14:textId="77777777" w:rsidR="002420D7" w:rsidRDefault="002420D7" w:rsidP="00400F6D">
      <w:r>
        <w:separator/>
      </w:r>
    </w:p>
  </w:endnote>
  <w:endnote w:type="continuationSeparator" w:id="0">
    <w:p w14:paraId="403D06E1" w14:textId="77777777" w:rsidR="002420D7" w:rsidRDefault="002420D7"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zo Sans">
    <w:altName w:val="Times New Roman"/>
    <w:charset w:val="00"/>
    <w:family w:val="auto"/>
    <w:pitch w:val="variable"/>
    <w:sig w:usb0="00000007" w:usb1="00000000" w:usb2="00000000" w:usb3="00000000" w:csb0="00000093" w:csb1="00000000"/>
  </w:font>
  <w:font w:name="Azo Sans Lt">
    <w:altName w:val="Calibri"/>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Bold">
    <w:panose1 w:val="00000800000000000000"/>
    <w:charset w:val="00"/>
    <w:family w:val="auto"/>
    <w:pitch w:val="variable"/>
    <w:sig w:usb0="20000087" w:usb1="00000001" w:usb2="00000000" w:usb3="00000000" w:csb0="0000019B" w:csb1="00000000"/>
  </w:font>
  <w:font w:name="Averta">
    <w:altName w:val="Averta"/>
    <w:panose1 w:val="00000500000000000000"/>
    <w:charset w:val="00"/>
    <w:family w:val="auto"/>
    <w:pitch w:val="variable"/>
    <w:sig w:usb0="20000087" w:usb1="00000001" w:usb2="00000000" w:usb3="00000000" w:csb0="0000019B"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48D0F" w14:textId="77777777" w:rsidR="003F0B55" w:rsidRDefault="003F0B5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Borders>
        <w:top w:val="single" w:sz="4" w:space="0" w:color="00B050"/>
      </w:tblBorders>
      <w:tblCellMar>
        <w:top w:w="72" w:type="dxa"/>
        <w:left w:w="115" w:type="dxa"/>
        <w:bottom w:w="72" w:type="dxa"/>
        <w:right w:w="115" w:type="dxa"/>
      </w:tblCellMar>
      <w:tblLook w:val="04A0" w:firstRow="1" w:lastRow="0" w:firstColumn="1" w:lastColumn="0" w:noHBand="0" w:noVBand="1"/>
    </w:tblPr>
    <w:tblGrid>
      <w:gridCol w:w="8613"/>
      <w:gridCol w:w="844"/>
    </w:tblGrid>
    <w:tr w:rsidR="00A07E2C" w:rsidRPr="00373AB3" w14:paraId="7B059B59" w14:textId="77777777" w:rsidTr="00DB0F73">
      <w:tc>
        <w:tcPr>
          <w:tcW w:w="4554" w:type="pct"/>
          <w:tcBorders>
            <w:top w:val="single" w:sz="4" w:space="0" w:color="235B4E"/>
          </w:tcBorders>
        </w:tcPr>
        <w:p w14:paraId="2FC110BA" w14:textId="531A6949" w:rsidR="00A07E2C" w:rsidRPr="00DB0F73" w:rsidRDefault="004B4CCE" w:rsidP="00373AB3">
          <w:pPr>
            <w:pStyle w:val="Piedepgina"/>
            <w:spacing w:line="276" w:lineRule="auto"/>
            <w:jc w:val="right"/>
            <w:rPr>
              <w:rFonts w:ascii="Averta" w:hAnsi="Averta" w:cstheme="minorHAnsi"/>
              <w:sz w:val="18"/>
              <w:szCs w:val="18"/>
            </w:rPr>
          </w:pPr>
          <w:sdt>
            <w:sdtPr>
              <w:rPr>
                <w:rFonts w:ascii="Averta" w:hAnsi="Averta" w:cstheme="minorHAnsi"/>
                <w:sz w:val="18"/>
                <w:szCs w:val="18"/>
              </w:rPr>
              <w:alias w:val="Compañía"/>
              <w:id w:val="716552599"/>
              <w:dataBinding w:prefixMappings="xmlns:ns0='http://schemas.openxmlformats.org/officeDocument/2006/extended-properties'" w:xpath="/ns0:Properties[1]/ns0:Company[1]" w:storeItemID="{6668398D-A668-4E3E-A5EB-62B293D839F1}"/>
              <w:text/>
            </w:sdtPr>
            <w:sdtEndPr/>
            <w:sdtContent>
              <w:r w:rsidR="00A07E2C" w:rsidRPr="00DB0F73">
                <w:rPr>
                  <w:rFonts w:ascii="Averta" w:hAnsi="Averta" w:cstheme="minorHAnsi"/>
                  <w:sz w:val="18"/>
                  <w:szCs w:val="18"/>
                </w:rPr>
                <w:t>Secretaría de</w:t>
              </w:r>
              <w:r w:rsidR="00DB0F73" w:rsidRPr="00DB0F73">
                <w:rPr>
                  <w:rFonts w:ascii="Averta" w:hAnsi="Averta" w:cstheme="minorHAnsi"/>
                  <w:sz w:val="18"/>
                  <w:szCs w:val="18"/>
                </w:rPr>
                <w:t xml:space="preserve"> Administración y</w:t>
              </w:r>
              <w:r w:rsidR="00A07E2C" w:rsidRPr="00DB0F73">
                <w:rPr>
                  <w:rFonts w:ascii="Averta" w:hAnsi="Averta" w:cstheme="minorHAnsi"/>
                  <w:sz w:val="18"/>
                  <w:szCs w:val="18"/>
                </w:rPr>
                <w:t xml:space="preserve"> Finanzas</w:t>
              </w:r>
            </w:sdtContent>
          </w:sdt>
          <w:r w:rsidR="00A07E2C" w:rsidRPr="00DB0F73">
            <w:rPr>
              <w:rFonts w:ascii="Averta" w:hAnsi="Averta" w:cstheme="minorHAnsi"/>
              <w:sz w:val="18"/>
              <w:szCs w:val="18"/>
              <w:lang w:val="es-ES"/>
            </w:rPr>
            <w:t xml:space="preserve"> / Subsecretaría de Programación y Presupuesto</w:t>
          </w:r>
        </w:p>
      </w:tc>
      <w:tc>
        <w:tcPr>
          <w:tcW w:w="446" w:type="pct"/>
          <w:shd w:val="clear" w:color="auto" w:fill="235B4E"/>
        </w:tcPr>
        <w:p w14:paraId="1CAB8477" w14:textId="0B5A6DE5" w:rsidR="00A07E2C" w:rsidRPr="00DB0F73" w:rsidRDefault="00A07E2C" w:rsidP="00373AB3">
          <w:pPr>
            <w:pStyle w:val="Encabezado"/>
            <w:spacing w:line="276" w:lineRule="auto"/>
            <w:jc w:val="right"/>
            <w:rPr>
              <w:rFonts w:ascii="Averta Black" w:hAnsi="Averta Black"/>
              <w:color w:val="FFFFFF" w:themeColor="background1"/>
            </w:rPr>
          </w:pPr>
          <w:r w:rsidRPr="00DB0F73">
            <w:rPr>
              <w:rFonts w:ascii="Averta Black" w:hAnsi="Averta Black"/>
            </w:rPr>
            <w:fldChar w:fldCharType="begin"/>
          </w:r>
          <w:r w:rsidRPr="00DB0F73">
            <w:rPr>
              <w:rFonts w:ascii="Averta Black" w:hAnsi="Averta Black"/>
            </w:rPr>
            <w:instrText>PAGE   \* MERGEFORMAT</w:instrText>
          </w:r>
          <w:r w:rsidRPr="00DB0F73">
            <w:rPr>
              <w:rFonts w:ascii="Averta Black" w:hAnsi="Averta Black"/>
            </w:rPr>
            <w:fldChar w:fldCharType="separate"/>
          </w:r>
          <w:r w:rsidR="00EB1E3F" w:rsidRPr="00EB1E3F">
            <w:rPr>
              <w:rFonts w:ascii="Averta Black" w:hAnsi="Averta Black"/>
              <w:noProof/>
              <w:color w:val="FFFFFF" w:themeColor="background1"/>
              <w:lang w:val="es-ES"/>
            </w:rPr>
            <w:t>341</w:t>
          </w:r>
          <w:r w:rsidRPr="00DB0F73">
            <w:rPr>
              <w:rFonts w:ascii="Averta Black" w:hAnsi="Averta Black"/>
              <w:color w:val="FFFFFF" w:themeColor="background1"/>
            </w:rPr>
            <w:fldChar w:fldCharType="end"/>
          </w:r>
        </w:p>
      </w:tc>
    </w:tr>
  </w:tbl>
  <w:p w14:paraId="2125A889" w14:textId="77777777" w:rsidR="00A07E2C" w:rsidRPr="00373AB3" w:rsidRDefault="00A07E2C" w:rsidP="00373AB3">
    <w:pPr>
      <w:pStyle w:val="Piedepgina"/>
      <w:spacing w:line="276" w:lineRule="auto"/>
      <w:rPr>
        <w:rFonts w:ascii="Azo Sans Lt" w:hAnsi="Azo Sans 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B5BD7" w14:textId="77777777" w:rsidR="003F0B55" w:rsidRDefault="003F0B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3CADD" w14:textId="77777777" w:rsidR="002420D7" w:rsidRDefault="002420D7" w:rsidP="00400F6D">
      <w:r>
        <w:separator/>
      </w:r>
    </w:p>
  </w:footnote>
  <w:footnote w:type="continuationSeparator" w:id="0">
    <w:p w14:paraId="78107067" w14:textId="77777777" w:rsidR="002420D7" w:rsidRDefault="002420D7"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A575" w14:textId="77777777" w:rsidR="003F0B55" w:rsidRDefault="003F0B5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9FB6" w14:textId="08B98FD5" w:rsidR="00A07E2C" w:rsidRPr="00DB0F73" w:rsidRDefault="00DB0F73" w:rsidP="00DB0F73">
    <w:pPr>
      <w:pStyle w:val="Encabezado"/>
    </w:pPr>
    <w:r>
      <w:rPr>
        <w:rFonts w:ascii="Times New Roman" w:eastAsiaTheme="minorHAnsi" w:hAnsi="Times New Roman"/>
        <w:noProof/>
        <w:sz w:val="24"/>
        <w:szCs w:val="24"/>
        <w:lang w:val="en-US" w:eastAsia="en-US"/>
      </w:rPr>
      <mc:AlternateContent>
        <mc:Choice Requires="wps">
          <w:drawing>
            <wp:anchor distT="0" distB="0" distL="114300" distR="114300" simplePos="0" relativeHeight="251659264" behindDoc="0" locked="0" layoutInCell="1" allowOverlap="1" wp14:anchorId="1E9792FA" wp14:editId="5517AF6E">
              <wp:simplePos x="0" y="0"/>
              <wp:positionH relativeFrom="margin">
                <wp:posOffset>443865</wp:posOffset>
              </wp:positionH>
              <wp:positionV relativeFrom="paragraph">
                <wp:posOffset>-5372</wp:posOffset>
              </wp:positionV>
              <wp:extent cx="5412500" cy="302400"/>
              <wp:effectExtent l="0" t="0" r="0" b="254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500" cy="30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FE696" w14:textId="3D6CA2DA" w:rsidR="00DB0F73" w:rsidRDefault="00DB0F73" w:rsidP="00DB0F73">
                          <w:pPr>
                            <w:pBdr>
                              <w:bottom w:val="single" w:sz="24" w:space="1" w:color="235B4E"/>
                            </w:pBdr>
                            <w:jc w:val="right"/>
                            <w:rPr>
                              <w:rFonts w:ascii="Averta Bold" w:hAnsi="Averta Bold"/>
                              <w:b/>
                              <w:sz w:val="18"/>
                              <w:szCs w:val="18"/>
                            </w:rPr>
                          </w:pPr>
                          <w:r>
                            <w:rPr>
                              <w:rFonts w:ascii="Averta Bold" w:hAnsi="Averta Bold"/>
                              <w:b/>
                              <w:sz w:val="18"/>
                              <w:szCs w:val="18"/>
                            </w:rPr>
                            <w:t xml:space="preserve">Manual de Normas y Procedimientos del </w:t>
                          </w:r>
                          <w:r w:rsidR="00542830">
                            <w:rPr>
                              <w:rFonts w:ascii="Averta Bold" w:hAnsi="Averta Bold"/>
                              <w:b/>
                              <w:sz w:val="18"/>
                              <w:szCs w:val="18"/>
                            </w:rPr>
                            <w:t>E</w:t>
                          </w:r>
                          <w:r w:rsidR="00B12FB8">
                            <w:rPr>
                              <w:rFonts w:ascii="Averta Bold" w:hAnsi="Averta Bold"/>
                              <w:b/>
                              <w:sz w:val="18"/>
                              <w:szCs w:val="18"/>
                            </w:rPr>
                            <w:t>jercicio del Presupuesto 202</w:t>
                          </w:r>
                          <w:r w:rsidR="00BF4C6B">
                            <w:rPr>
                              <w:rFonts w:ascii="Averta Bold" w:hAnsi="Averta Bold"/>
                              <w:b/>
                              <w:sz w:val="18"/>
                              <w:szCs w:val="18"/>
                            </w:rPr>
                            <w:t>5</w:t>
                          </w:r>
                        </w:p>
                        <w:p w14:paraId="78FDDDAF" w14:textId="77777777" w:rsidR="00DB0F73" w:rsidRDefault="00DB0F73" w:rsidP="00DB0F73">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9792FA" id="_x0000_t202" coordsize="21600,21600" o:spt="202" path="m,l,21600r21600,l21600,xe">
              <v:stroke joinstyle="miter"/>
              <v:path gradientshapeok="t" o:connecttype="rect"/>
            </v:shapetype>
            <v:shape id="Cuadro de texto 5" o:spid="_x0000_s1026" type="#_x0000_t202" style="position:absolute;margin-left:34.95pt;margin-top:-.4pt;width:426.2pt;height:2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JvDuAIAAMAFAAAOAAAAZHJzL2Uyb0RvYy54bWysVNtu2zAMfR+wfxD07voyOY2NOkUbx8OA&#10;7gJ0+wDFkmNhtuRJSpxu2L+PkpM0bTFg2OYHQxKpQx7yiFfX+75DO66NULLA8UWEEZe1YkJuCvzl&#10;cxXMMTKWSkY7JXmBH7jB14vXr67GIeeJalXHuEYAIk0+DgVurR3yMDR1y3tqLtTAJRgbpXtqYas3&#10;IdN0BPS+C5MomoWj0mzQqubGwGk5GfHC4zcNr+3HpjHcoq7AkJv1f+3/a/cPF1c032g6tKI+pEH/&#10;IoueCglBT1AltRRttXgB1YtaK6Mae1GrPlRNI2ruOQCbOHrG5r6lA/dcoDhmOJXJ/D/Y+sPuk0aC&#10;FTjFSNIeWrTcUqYVYhxZvrcKpa5I42By8L0fwNvub9Uemu0Jm+FO1V8NkmrZUrnhN1qrseWUQZKx&#10;uxmeXZ1wjANZj+8Vg2h0a5UH2je6dxWEmiBAh2Y9nBoEeaAaDlMSJ2kEphpsb6KEwNqFoPnx9qCN&#10;fctVj9yiwBoE4NHp7s7YyfXo4oJJVYmug3Oad/LJAWBOJxAbrjqby8L39EcWZav5ak4CksxWAYnK&#10;MripliSYVfFlWr4pl8sy/unixiRvBWNcujBHfcXkz/p3UPqkjJPCjOoEc3AuJaM362Wn0Y6Cviv/&#10;HQpy5hY+TcPXC7g8oxRDNW+TLKhm88uAVCQNsstoHkRxdpvNIpKRsnpK6U5I/u+U0FjgLE3SSUy/&#10;5Rb57yU3mvfCwgTpRF/g+cmJ5k6CK8l8ay0V3bQ+K4VL/7EU0O5jo71gnUYntdr9eg8oTsVrxR5A&#10;ulqBskCEMPZg0Sr9HaMRRkiBzbct1Ryj7p0E+WcxIW7m+A1JLxPY6HPL+txCZQ1QBbYYTculnebU&#10;dtBi00Kk6cFJdQNPphFezY9ZHR4ajAlP6jDS3Bw633uvx8G7+AUAAP//AwBQSwMEFAAGAAgAAAAh&#10;AP8lsmrcAAAABwEAAA8AAABkcnMvZG93bnJldi54bWxMj8FOwzAQRO9I/IO1lbhRu6FETcimQiCu&#10;VC1QqTc33iYR8TqK3Sb8Pe4JjqMZzbwp1pPtxIUG3zpGWMwVCOLKmZZrhM+Pt/sVCB80G905JoQf&#10;8rAub28KnRs38pYuu1CLWMI+1whNCH0upa8astrPXU8cvZMbrA5RDrU0gx5jue1kolQqrW45LjS6&#10;p5eGqu/d2SJ8vZ8O+6Xa1K/2sR/dpCTbTCLezabnJxCBpvAXhit+RIcyMh3dmY0XHUKaZTGJcD0Q&#10;7SxJHkAcEZbpCmRZyP/85S8AAAD//wMAUEsBAi0AFAAGAAgAAAAhALaDOJL+AAAA4QEAABMAAAAA&#10;AAAAAAAAAAAAAAAAAFtDb250ZW50X1R5cGVzXS54bWxQSwECLQAUAAYACAAAACEAOP0h/9YAAACU&#10;AQAACwAAAAAAAAAAAAAAAAAvAQAAX3JlbHMvLnJlbHNQSwECLQAUAAYACAAAACEAX8ibw7gCAADA&#10;BQAADgAAAAAAAAAAAAAAAAAuAgAAZHJzL2Uyb0RvYy54bWxQSwECLQAUAAYACAAAACEA/yWyatwA&#10;AAAHAQAADwAAAAAAAAAAAAAAAAASBQAAZHJzL2Rvd25yZXYueG1sUEsFBgAAAAAEAAQA8wAAABsG&#10;AAAAAA==&#10;" filled="f" stroked="f">
              <v:textbox>
                <w:txbxContent>
                  <w:p w14:paraId="4CBFE696" w14:textId="3D6CA2DA" w:rsidR="00DB0F73" w:rsidRDefault="00DB0F73" w:rsidP="00DB0F73">
                    <w:pPr>
                      <w:pBdr>
                        <w:bottom w:val="single" w:sz="24" w:space="1" w:color="235B4E"/>
                      </w:pBdr>
                      <w:jc w:val="right"/>
                      <w:rPr>
                        <w:rFonts w:ascii="Averta Bold" w:hAnsi="Averta Bold"/>
                        <w:b/>
                        <w:sz w:val="18"/>
                        <w:szCs w:val="18"/>
                      </w:rPr>
                    </w:pPr>
                    <w:r>
                      <w:rPr>
                        <w:rFonts w:ascii="Averta Bold" w:hAnsi="Averta Bold"/>
                        <w:b/>
                        <w:sz w:val="18"/>
                        <w:szCs w:val="18"/>
                      </w:rPr>
                      <w:t xml:space="preserve">Manual de Normas y Procedimientos del </w:t>
                    </w:r>
                    <w:r w:rsidR="00542830">
                      <w:rPr>
                        <w:rFonts w:ascii="Averta Bold" w:hAnsi="Averta Bold"/>
                        <w:b/>
                        <w:sz w:val="18"/>
                        <w:szCs w:val="18"/>
                      </w:rPr>
                      <w:t>E</w:t>
                    </w:r>
                    <w:r w:rsidR="00B12FB8">
                      <w:rPr>
                        <w:rFonts w:ascii="Averta Bold" w:hAnsi="Averta Bold"/>
                        <w:b/>
                        <w:sz w:val="18"/>
                        <w:szCs w:val="18"/>
                      </w:rPr>
                      <w:t>jercicio del Presupuesto 202</w:t>
                    </w:r>
                    <w:r w:rsidR="00BF4C6B">
                      <w:rPr>
                        <w:rFonts w:ascii="Averta Bold" w:hAnsi="Averta Bold"/>
                        <w:b/>
                        <w:sz w:val="18"/>
                        <w:szCs w:val="18"/>
                      </w:rPr>
                      <w:t>5</w:t>
                    </w:r>
                  </w:p>
                  <w:p w14:paraId="78FDDDAF" w14:textId="77777777" w:rsidR="00DB0F73" w:rsidRDefault="00DB0F73" w:rsidP="00DB0F73">
                    <w:pPr>
                      <w:jc w:val="right"/>
                      <w:rPr>
                        <w:rFonts w:ascii="Azo Sans Lt" w:hAnsi="Azo Sans Lt"/>
                        <w:b/>
                        <w:sz w:val="22"/>
                        <w:szCs w:val="22"/>
                      </w:rPr>
                    </w:pPr>
                  </w:p>
                </w:txbxContent>
              </v:textbox>
              <w10:wrap anchorx="margin"/>
            </v:shape>
          </w:pict>
        </mc:Fallback>
      </mc:AlternateContent>
    </w:r>
    <w:r>
      <w:rPr>
        <w:noProof/>
        <w:lang w:val="en-US" w:eastAsia="en-US"/>
      </w:rPr>
      <w:drawing>
        <wp:anchor distT="0" distB="0" distL="114300" distR="114300" simplePos="0" relativeHeight="251658240" behindDoc="0" locked="0" layoutInCell="1" allowOverlap="1" wp14:anchorId="37EE51AB" wp14:editId="72C656F1">
          <wp:simplePos x="0" y="0"/>
          <wp:positionH relativeFrom="column">
            <wp:posOffset>-892810</wp:posOffset>
          </wp:positionH>
          <wp:positionV relativeFrom="paragraph">
            <wp:posOffset>-543560</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4E10F" w14:textId="77777777" w:rsidR="003F0B55" w:rsidRDefault="003F0B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72831E1"/>
    <w:multiLevelType w:val="hybridMultilevel"/>
    <w:tmpl w:val="23C468E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81E08B9"/>
    <w:multiLevelType w:val="hybridMultilevel"/>
    <w:tmpl w:val="261202B0"/>
    <w:lvl w:ilvl="0" w:tplc="5B64993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8" w15:restartNumberingAfterBreak="0">
    <w:nsid w:val="1D766F7E"/>
    <w:multiLevelType w:val="hybridMultilevel"/>
    <w:tmpl w:val="F698C4E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1E345F7C"/>
    <w:multiLevelType w:val="multilevel"/>
    <w:tmpl w:val="E6BC3F88"/>
    <w:lvl w:ilvl="0">
      <w:start w:val="6"/>
      <w:numFmt w:val="decimal"/>
      <w:lvlText w:val="%1."/>
      <w:lvlJc w:val="left"/>
      <w:pPr>
        <w:ind w:left="435" w:hanging="435"/>
      </w:pPr>
      <w:rPr>
        <w:rFonts w:ascii="Azo Sans" w:eastAsiaTheme="majorEastAsia" w:hAnsi="Azo Sans" w:cstheme="majorBidi" w:hint="default"/>
        <w:b/>
      </w:rPr>
    </w:lvl>
    <w:lvl w:ilvl="1">
      <w:start w:val="3"/>
      <w:numFmt w:val="decimal"/>
      <w:lvlText w:val="%1.%2."/>
      <w:lvlJc w:val="left"/>
      <w:pPr>
        <w:ind w:left="720" w:hanging="720"/>
      </w:pPr>
      <w:rPr>
        <w:rFonts w:ascii="Azo Sans" w:eastAsiaTheme="majorEastAsia" w:hAnsi="Azo Sans" w:cstheme="majorBidi" w:hint="default"/>
        <w:b/>
      </w:rPr>
    </w:lvl>
    <w:lvl w:ilvl="2">
      <w:start w:val="1"/>
      <w:numFmt w:val="decimal"/>
      <w:lvlText w:val="%1.%2.%3."/>
      <w:lvlJc w:val="left"/>
      <w:pPr>
        <w:ind w:left="720" w:hanging="720"/>
      </w:pPr>
      <w:rPr>
        <w:rFonts w:ascii="Azo Sans" w:eastAsiaTheme="majorEastAsia" w:hAnsi="Azo Sans" w:cstheme="majorBidi" w:hint="default"/>
        <w:b/>
      </w:rPr>
    </w:lvl>
    <w:lvl w:ilvl="3">
      <w:start w:val="1"/>
      <w:numFmt w:val="decimal"/>
      <w:lvlText w:val="%1.%2.%3.%4."/>
      <w:lvlJc w:val="left"/>
      <w:pPr>
        <w:ind w:left="1080" w:hanging="1080"/>
      </w:pPr>
      <w:rPr>
        <w:rFonts w:ascii="Azo Sans" w:eastAsiaTheme="majorEastAsia" w:hAnsi="Azo Sans" w:cstheme="majorBidi" w:hint="default"/>
        <w:b/>
      </w:rPr>
    </w:lvl>
    <w:lvl w:ilvl="4">
      <w:start w:val="1"/>
      <w:numFmt w:val="decimal"/>
      <w:lvlText w:val="%1.%2.%3.%4.%5."/>
      <w:lvlJc w:val="left"/>
      <w:pPr>
        <w:ind w:left="1080" w:hanging="1080"/>
      </w:pPr>
      <w:rPr>
        <w:rFonts w:ascii="Azo Sans" w:eastAsiaTheme="majorEastAsia" w:hAnsi="Azo Sans" w:cstheme="majorBidi" w:hint="default"/>
        <w:b/>
      </w:rPr>
    </w:lvl>
    <w:lvl w:ilvl="5">
      <w:start w:val="1"/>
      <w:numFmt w:val="decimal"/>
      <w:lvlText w:val="%1.%2.%3.%4.%5.%6."/>
      <w:lvlJc w:val="left"/>
      <w:pPr>
        <w:ind w:left="1440" w:hanging="1440"/>
      </w:pPr>
      <w:rPr>
        <w:rFonts w:ascii="Azo Sans" w:eastAsiaTheme="majorEastAsia" w:hAnsi="Azo Sans" w:cstheme="majorBidi" w:hint="default"/>
        <w:b/>
      </w:rPr>
    </w:lvl>
    <w:lvl w:ilvl="6">
      <w:start w:val="1"/>
      <w:numFmt w:val="decimal"/>
      <w:lvlText w:val="%1.%2.%3.%4.%5.%6.%7."/>
      <w:lvlJc w:val="left"/>
      <w:pPr>
        <w:ind w:left="1440" w:hanging="1440"/>
      </w:pPr>
      <w:rPr>
        <w:rFonts w:ascii="Azo Sans" w:eastAsiaTheme="majorEastAsia" w:hAnsi="Azo Sans" w:cstheme="majorBidi" w:hint="default"/>
        <w:b/>
      </w:rPr>
    </w:lvl>
    <w:lvl w:ilvl="7">
      <w:start w:val="1"/>
      <w:numFmt w:val="decimal"/>
      <w:lvlText w:val="%1.%2.%3.%4.%5.%6.%7.%8."/>
      <w:lvlJc w:val="left"/>
      <w:pPr>
        <w:ind w:left="1800" w:hanging="1800"/>
      </w:pPr>
      <w:rPr>
        <w:rFonts w:ascii="Azo Sans" w:eastAsiaTheme="majorEastAsia" w:hAnsi="Azo Sans" w:cstheme="majorBidi" w:hint="default"/>
        <w:b/>
      </w:rPr>
    </w:lvl>
    <w:lvl w:ilvl="8">
      <w:start w:val="1"/>
      <w:numFmt w:val="decimal"/>
      <w:lvlText w:val="%1.%2.%3.%4.%5.%6.%7.%8.%9."/>
      <w:lvlJc w:val="left"/>
      <w:pPr>
        <w:ind w:left="2160" w:hanging="2160"/>
      </w:pPr>
      <w:rPr>
        <w:rFonts w:ascii="Azo Sans" w:eastAsiaTheme="majorEastAsia" w:hAnsi="Azo Sans" w:cstheme="majorBidi" w:hint="default"/>
        <w:b/>
      </w:rPr>
    </w:lvl>
  </w:abstractNum>
  <w:abstractNum w:abstractNumId="10" w15:restartNumberingAfterBreak="0">
    <w:nsid w:val="201331D9"/>
    <w:multiLevelType w:val="hybridMultilevel"/>
    <w:tmpl w:val="22244714"/>
    <w:lvl w:ilvl="0" w:tplc="4D288F20">
      <w:start w:val="1"/>
      <w:numFmt w:val="decimal"/>
      <w:lvlText w:val="%1."/>
      <w:lvlJc w:val="left"/>
      <w:pPr>
        <w:ind w:left="1146" w:hanging="360"/>
      </w:pPr>
      <w:rPr>
        <w:rFonts w:ascii="Azo Sans Lt" w:hAnsi="Azo Sans Lt" w:cs="Tahoma" w:hint="default"/>
        <w:b w:val="0"/>
        <w:i w:val="0"/>
        <w:color w:val="000000" w:themeColor="text1"/>
        <w:sz w:val="22"/>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11" w15:restartNumberingAfterBreak="0">
    <w:nsid w:val="20882695"/>
    <w:multiLevelType w:val="multilevel"/>
    <w:tmpl w:val="4F7C98CC"/>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582563"/>
    <w:multiLevelType w:val="hybridMultilevel"/>
    <w:tmpl w:val="488A61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36C2EF0"/>
    <w:multiLevelType w:val="hybridMultilevel"/>
    <w:tmpl w:val="F560FAB0"/>
    <w:lvl w:ilvl="0" w:tplc="643CC7BE">
      <w:start w:val="1"/>
      <w:numFmt w:val="bullet"/>
      <w:lvlText w:val="-"/>
      <w:lvlJc w:val="left"/>
      <w:pPr>
        <w:ind w:left="720" w:hanging="360"/>
      </w:pPr>
      <w:rPr>
        <w:rFonts w:ascii="SimSun" w:eastAsia="SimSun" w:hAnsi="SimSun" w:hint="eastAsi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D491098"/>
    <w:multiLevelType w:val="hybridMultilevel"/>
    <w:tmpl w:val="7F347DC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F910ACD"/>
    <w:multiLevelType w:val="hybridMultilevel"/>
    <w:tmpl w:val="E918D43C"/>
    <w:lvl w:ilvl="0" w:tplc="213EB88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26B7D17"/>
    <w:multiLevelType w:val="hybridMultilevel"/>
    <w:tmpl w:val="6232B432"/>
    <w:lvl w:ilvl="0" w:tplc="080A000F">
      <w:start w:val="1"/>
      <w:numFmt w:val="decimal"/>
      <w:lvlText w:val="%1."/>
      <w:lvlJc w:val="left"/>
      <w:pPr>
        <w:ind w:left="1890" w:hanging="360"/>
      </w:pPr>
    </w:lvl>
    <w:lvl w:ilvl="1" w:tplc="080A0019" w:tentative="1">
      <w:start w:val="1"/>
      <w:numFmt w:val="lowerLetter"/>
      <w:lvlText w:val="%2."/>
      <w:lvlJc w:val="left"/>
      <w:pPr>
        <w:ind w:left="2610" w:hanging="360"/>
      </w:pPr>
    </w:lvl>
    <w:lvl w:ilvl="2" w:tplc="080A001B" w:tentative="1">
      <w:start w:val="1"/>
      <w:numFmt w:val="lowerRoman"/>
      <w:lvlText w:val="%3."/>
      <w:lvlJc w:val="right"/>
      <w:pPr>
        <w:ind w:left="3330" w:hanging="180"/>
      </w:pPr>
    </w:lvl>
    <w:lvl w:ilvl="3" w:tplc="080A000F" w:tentative="1">
      <w:start w:val="1"/>
      <w:numFmt w:val="decimal"/>
      <w:lvlText w:val="%4."/>
      <w:lvlJc w:val="left"/>
      <w:pPr>
        <w:ind w:left="4050" w:hanging="360"/>
      </w:pPr>
    </w:lvl>
    <w:lvl w:ilvl="4" w:tplc="080A0019" w:tentative="1">
      <w:start w:val="1"/>
      <w:numFmt w:val="lowerLetter"/>
      <w:lvlText w:val="%5."/>
      <w:lvlJc w:val="left"/>
      <w:pPr>
        <w:ind w:left="4770" w:hanging="360"/>
      </w:pPr>
    </w:lvl>
    <w:lvl w:ilvl="5" w:tplc="080A001B" w:tentative="1">
      <w:start w:val="1"/>
      <w:numFmt w:val="lowerRoman"/>
      <w:lvlText w:val="%6."/>
      <w:lvlJc w:val="right"/>
      <w:pPr>
        <w:ind w:left="5490" w:hanging="180"/>
      </w:pPr>
    </w:lvl>
    <w:lvl w:ilvl="6" w:tplc="080A000F" w:tentative="1">
      <w:start w:val="1"/>
      <w:numFmt w:val="decimal"/>
      <w:lvlText w:val="%7."/>
      <w:lvlJc w:val="left"/>
      <w:pPr>
        <w:ind w:left="6210" w:hanging="360"/>
      </w:pPr>
    </w:lvl>
    <w:lvl w:ilvl="7" w:tplc="080A0019" w:tentative="1">
      <w:start w:val="1"/>
      <w:numFmt w:val="lowerLetter"/>
      <w:lvlText w:val="%8."/>
      <w:lvlJc w:val="left"/>
      <w:pPr>
        <w:ind w:left="6930" w:hanging="360"/>
      </w:pPr>
    </w:lvl>
    <w:lvl w:ilvl="8" w:tplc="080A001B" w:tentative="1">
      <w:start w:val="1"/>
      <w:numFmt w:val="lowerRoman"/>
      <w:lvlText w:val="%9."/>
      <w:lvlJc w:val="right"/>
      <w:pPr>
        <w:ind w:left="7650" w:hanging="180"/>
      </w:pPr>
    </w:lvl>
  </w:abstractNum>
  <w:abstractNum w:abstractNumId="17" w15:restartNumberingAfterBreak="0">
    <w:nsid w:val="36A928A6"/>
    <w:multiLevelType w:val="hybridMultilevel"/>
    <w:tmpl w:val="DD86E116"/>
    <w:lvl w:ilvl="0" w:tplc="9AB20F0C">
      <w:start w:val="1"/>
      <w:numFmt w:val="decimal"/>
      <w:lvlText w:val="%1."/>
      <w:lvlJc w:val="left"/>
      <w:pPr>
        <w:ind w:left="720" w:hanging="360"/>
      </w:pPr>
      <w:rPr>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560242B"/>
    <w:multiLevelType w:val="hybridMultilevel"/>
    <w:tmpl w:val="50B477F2"/>
    <w:lvl w:ilvl="0" w:tplc="E9F88232">
      <w:start w:val="1"/>
      <w:numFmt w:val="decimal"/>
      <w:lvlText w:val="%1."/>
      <w:lvlJc w:val="left"/>
      <w:pPr>
        <w:ind w:left="360" w:hanging="360"/>
      </w:pPr>
      <w:rPr>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073363"/>
    <w:multiLevelType w:val="multilevel"/>
    <w:tmpl w:val="459A78E2"/>
    <w:lvl w:ilvl="0">
      <w:start w:val="6"/>
      <w:numFmt w:val="decimal"/>
      <w:lvlText w:val="%1."/>
      <w:lvlJc w:val="left"/>
      <w:pPr>
        <w:ind w:left="435" w:hanging="435"/>
      </w:pPr>
      <w:rPr>
        <w:rFonts w:ascii="Azo Sans" w:eastAsiaTheme="majorEastAsia" w:hAnsi="Azo Sans" w:cs="Times New Roman" w:hint="default"/>
        <w:b/>
        <w:color w:val="365F91" w:themeColor="accent1" w:themeShade="BF"/>
      </w:rPr>
    </w:lvl>
    <w:lvl w:ilvl="1">
      <w:start w:val="3"/>
      <w:numFmt w:val="decimal"/>
      <w:lvlText w:val="%1.%2."/>
      <w:lvlJc w:val="left"/>
      <w:pPr>
        <w:ind w:left="720" w:hanging="720"/>
      </w:pPr>
      <w:rPr>
        <w:rFonts w:ascii="Azo Sans" w:eastAsiaTheme="majorEastAsia" w:hAnsi="Azo Sans" w:cs="Times New Roman" w:hint="default"/>
        <w:b/>
        <w:color w:val="365F91" w:themeColor="accent1" w:themeShade="BF"/>
      </w:rPr>
    </w:lvl>
    <w:lvl w:ilvl="2">
      <w:start w:val="1"/>
      <w:numFmt w:val="decimal"/>
      <w:lvlText w:val="%1.%2.%3."/>
      <w:lvlJc w:val="left"/>
      <w:pPr>
        <w:ind w:left="720" w:hanging="720"/>
      </w:pPr>
      <w:rPr>
        <w:rFonts w:ascii="Azo Sans" w:eastAsiaTheme="majorEastAsia" w:hAnsi="Azo Sans" w:cs="Times New Roman" w:hint="default"/>
        <w:b/>
        <w:color w:val="365F91" w:themeColor="accent1" w:themeShade="BF"/>
      </w:rPr>
    </w:lvl>
    <w:lvl w:ilvl="3">
      <w:start w:val="1"/>
      <w:numFmt w:val="decimal"/>
      <w:lvlText w:val="%1.%2.%3.%4."/>
      <w:lvlJc w:val="left"/>
      <w:pPr>
        <w:ind w:left="1080" w:hanging="1080"/>
      </w:pPr>
      <w:rPr>
        <w:rFonts w:ascii="Azo Sans" w:eastAsiaTheme="majorEastAsia" w:hAnsi="Azo Sans" w:cs="Times New Roman" w:hint="default"/>
        <w:b/>
        <w:color w:val="365F91" w:themeColor="accent1" w:themeShade="BF"/>
      </w:rPr>
    </w:lvl>
    <w:lvl w:ilvl="4">
      <w:start w:val="1"/>
      <w:numFmt w:val="decimal"/>
      <w:lvlText w:val="%1.%2.%3.%4.%5."/>
      <w:lvlJc w:val="left"/>
      <w:pPr>
        <w:ind w:left="1080" w:hanging="1080"/>
      </w:pPr>
      <w:rPr>
        <w:rFonts w:ascii="Azo Sans" w:eastAsiaTheme="majorEastAsia" w:hAnsi="Azo Sans" w:cs="Times New Roman" w:hint="default"/>
        <w:b/>
        <w:color w:val="365F91" w:themeColor="accent1" w:themeShade="BF"/>
      </w:rPr>
    </w:lvl>
    <w:lvl w:ilvl="5">
      <w:start w:val="1"/>
      <w:numFmt w:val="decimal"/>
      <w:lvlText w:val="%1.%2.%3.%4.%5.%6."/>
      <w:lvlJc w:val="left"/>
      <w:pPr>
        <w:ind w:left="1440" w:hanging="1440"/>
      </w:pPr>
      <w:rPr>
        <w:rFonts w:ascii="Azo Sans" w:eastAsiaTheme="majorEastAsia" w:hAnsi="Azo Sans" w:cs="Times New Roman" w:hint="default"/>
        <w:b/>
        <w:color w:val="365F91" w:themeColor="accent1" w:themeShade="BF"/>
      </w:rPr>
    </w:lvl>
    <w:lvl w:ilvl="6">
      <w:start w:val="1"/>
      <w:numFmt w:val="decimal"/>
      <w:lvlText w:val="%1.%2.%3.%4.%5.%6.%7."/>
      <w:lvlJc w:val="left"/>
      <w:pPr>
        <w:ind w:left="1440" w:hanging="1440"/>
      </w:pPr>
      <w:rPr>
        <w:rFonts w:ascii="Azo Sans" w:eastAsiaTheme="majorEastAsia" w:hAnsi="Azo Sans" w:cs="Times New Roman" w:hint="default"/>
        <w:b/>
        <w:color w:val="365F91" w:themeColor="accent1" w:themeShade="BF"/>
      </w:rPr>
    </w:lvl>
    <w:lvl w:ilvl="7">
      <w:start w:val="1"/>
      <w:numFmt w:val="decimal"/>
      <w:lvlText w:val="%1.%2.%3.%4.%5.%6.%7.%8."/>
      <w:lvlJc w:val="left"/>
      <w:pPr>
        <w:ind w:left="1800" w:hanging="1800"/>
      </w:pPr>
      <w:rPr>
        <w:rFonts w:ascii="Azo Sans" w:eastAsiaTheme="majorEastAsia" w:hAnsi="Azo Sans" w:cs="Times New Roman" w:hint="default"/>
        <w:b/>
        <w:color w:val="365F91" w:themeColor="accent1" w:themeShade="BF"/>
      </w:rPr>
    </w:lvl>
    <w:lvl w:ilvl="8">
      <w:start w:val="1"/>
      <w:numFmt w:val="decimal"/>
      <w:lvlText w:val="%1.%2.%3.%4.%5.%6.%7.%8.%9."/>
      <w:lvlJc w:val="left"/>
      <w:pPr>
        <w:ind w:left="2160" w:hanging="2160"/>
      </w:pPr>
      <w:rPr>
        <w:rFonts w:ascii="Azo Sans" w:eastAsiaTheme="majorEastAsia" w:hAnsi="Azo Sans" w:cs="Times New Roman" w:hint="default"/>
        <w:b/>
        <w:color w:val="365F91" w:themeColor="accent1" w:themeShade="BF"/>
      </w:rPr>
    </w:lvl>
  </w:abstractNum>
  <w:abstractNum w:abstractNumId="20" w15:restartNumberingAfterBreak="0">
    <w:nsid w:val="4A1C47BC"/>
    <w:multiLevelType w:val="hybridMultilevel"/>
    <w:tmpl w:val="927E5D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EF67FC1"/>
    <w:multiLevelType w:val="hybridMultilevel"/>
    <w:tmpl w:val="29D89508"/>
    <w:lvl w:ilvl="0" w:tplc="080A0017">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2" w15:restartNumberingAfterBreak="0">
    <w:nsid w:val="511F6084"/>
    <w:multiLevelType w:val="hybridMultilevel"/>
    <w:tmpl w:val="BFDABE44"/>
    <w:lvl w:ilvl="0" w:tplc="37D2EF32">
      <w:start w:val="2"/>
      <w:numFmt w:val="decimal"/>
      <w:lvlText w:val="%1."/>
      <w:lvlJc w:val="left"/>
      <w:pPr>
        <w:ind w:left="2520" w:hanging="360"/>
      </w:pPr>
      <w:rPr>
        <w:rFonts w:hint="default"/>
      </w:rPr>
    </w:lvl>
    <w:lvl w:ilvl="1" w:tplc="63621BB0">
      <w:start w:val="1"/>
      <w:numFmt w:val="decimal"/>
      <w:lvlText w:val="%2."/>
      <w:lvlJc w:val="left"/>
      <w:pPr>
        <w:ind w:left="2520" w:hanging="360"/>
      </w:pPr>
      <w:rPr>
        <w:rFonts w:hint="default"/>
        <w:color w:val="000000" w:themeColor="text1"/>
      </w:r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15:restartNumberingAfterBreak="0">
    <w:nsid w:val="54046076"/>
    <w:multiLevelType w:val="hybridMultilevel"/>
    <w:tmpl w:val="9B9E7EC8"/>
    <w:lvl w:ilvl="0" w:tplc="3E86EA7C">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80D268E"/>
    <w:multiLevelType w:val="multilevel"/>
    <w:tmpl w:val="9410CE10"/>
    <w:lvl w:ilvl="0">
      <w:start w:val="6"/>
      <w:numFmt w:val="decimal"/>
      <w:lvlText w:val="%1."/>
      <w:lvlJc w:val="left"/>
      <w:pPr>
        <w:ind w:left="420" w:hanging="420"/>
      </w:pPr>
      <w:rPr>
        <w:rFonts w:ascii="Azo Sans" w:hAnsi="Azo Sans" w:cs="Tahoma" w:hint="default"/>
        <w:b/>
        <w:color w:val="000000" w:themeColor="text1"/>
      </w:rPr>
    </w:lvl>
    <w:lvl w:ilvl="1">
      <w:start w:val="1"/>
      <w:numFmt w:val="decimal"/>
      <w:lvlText w:val="%1.%2."/>
      <w:lvlJc w:val="left"/>
      <w:pPr>
        <w:ind w:left="1004" w:hanging="720"/>
      </w:pPr>
      <w:rPr>
        <w:rFonts w:ascii="Azo Sans" w:hAnsi="Azo Sans" w:cs="Tahoma" w:hint="default"/>
        <w:b/>
        <w:color w:val="000000" w:themeColor="text1"/>
        <w:lang w:val="es-MX"/>
      </w:rPr>
    </w:lvl>
    <w:lvl w:ilvl="2">
      <w:start w:val="1"/>
      <w:numFmt w:val="decimal"/>
      <w:lvlText w:val="%1.%2.%3."/>
      <w:lvlJc w:val="left"/>
      <w:pPr>
        <w:ind w:left="1288" w:hanging="720"/>
      </w:pPr>
      <w:rPr>
        <w:rFonts w:ascii="Azo Sans" w:hAnsi="Azo Sans" w:cs="Tahoma" w:hint="default"/>
        <w:b/>
        <w:color w:val="000000" w:themeColor="text1"/>
      </w:rPr>
    </w:lvl>
    <w:lvl w:ilvl="3">
      <w:start w:val="1"/>
      <w:numFmt w:val="decimal"/>
      <w:lvlText w:val="%1.%2.%3.%4."/>
      <w:lvlJc w:val="left"/>
      <w:pPr>
        <w:ind w:left="1932" w:hanging="1080"/>
      </w:pPr>
      <w:rPr>
        <w:rFonts w:ascii="Azo Sans" w:hAnsi="Azo Sans" w:cs="Tahoma" w:hint="default"/>
        <w:b/>
        <w:color w:val="000000" w:themeColor="text1"/>
      </w:rPr>
    </w:lvl>
    <w:lvl w:ilvl="4">
      <w:start w:val="1"/>
      <w:numFmt w:val="decimal"/>
      <w:lvlText w:val="%1.%2.%3.%4.%5."/>
      <w:lvlJc w:val="left"/>
      <w:pPr>
        <w:ind w:left="2216" w:hanging="1080"/>
      </w:pPr>
      <w:rPr>
        <w:rFonts w:ascii="Azo Sans" w:hAnsi="Azo Sans" w:cs="Tahoma" w:hint="default"/>
        <w:b/>
        <w:color w:val="000000" w:themeColor="text1"/>
      </w:rPr>
    </w:lvl>
    <w:lvl w:ilvl="5">
      <w:start w:val="1"/>
      <w:numFmt w:val="decimal"/>
      <w:lvlText w:val="%1.%2.%3.%4.%5.%6."/>
      <w:lvlJc w:val="left"/>
      <w:pPr>
        <w:ind w:left="2860" w:hanging="1440"/>
      </w:pPr>
      <w:rPr>
        <w:rFonts w:ascii="Azo Sans" w:hAnsi="Azo Sans" w:cs="Tahoma" w:hint="default"/>
        <w:b/>
        <w:color w:val="000000" w:themeColor="text1"/>
      </w:rPr>
    </w:lvl>
    <w:lvl w:ilvl="6">
      <w:start w:val="1"/>
      <w:numFmt w:val="decimal"/>
      <w:lvlText w:val="%1.%2.%3.%4.%5.%6.%7."/>
      <w:lvlJc w:val="left"/>
      <w:pPr>
        <w:ind w:left="3144" w:hanging="1440"/>
      </w:pPr>
      <w:rPr>
        <w:rFonts w:ascii="Azo Sans" w:hAnsi="Azo Sans" w:cs="Tahoma" w:hint="default"/>
        <w:b/>
        <w:color w:val="000000" w:themeColor="text1"/>
      </w:rPr>
    </w:lvl>
    <w:lvl w:ilvl="7">
      <w:start w:val="1"/>
      <w:numFmt w:val="decimal"/>
      <w:lvlText w:val="%1.%2.%3.%4.%5.%6.%7.%8."/>
      <w:lvlJc w:val="left"/>
      <w:pPr>
        <w:ind w:left="3788" w:hanging="1800"/>
      </w:pPr>
      <w:rPr>
        <w:rFonts w:ascii="Azo Sans" w:hAnsi="Azo Sans" w:cs="Tahoma" w:hint="default"/>
        <w:b/>
        <w:color w:val="000000" w:themeColor="text1"/>
      </w:rPr>
    </w:lvl>
    <w:lvl w:ilvl="8">
      <w:start w:val="1"/>
      <w:numFmt w:val="decimal"/>
      <w:lvlText w:val="%1.%2.%3.%4.%5.%6.%7.%8.%9."/>
      <w:lvlJc w:val="left"/>
      <w:pPr>
        <w:ind w:left="4432" w:hanging="2160"/>
      </w:pPr>
      <w:rPr>
        <w:rFonts w:ascii="Azo Sans" w:hAnsi="Azo Sans" w:cs="Tahoma" w:hint="default"/>
        <w:b/>
        <w:color w:val="000000" w:themeColor="text1"/>
      </w:rPr>
    </w:lvl>
  </w:abstractNum>
  <w:abstractNum w:abstractNumId="25" w15:restartNumberingAfterBreak="0">
    <w:nsid w:val="5B9244B0"/>
    <w:multiLevelType w:val="hybridMultilevel"/>
    <w:tmpl w:val="CB4CD3A8"/>
    <w:lvl w:ilvl="0" w:tplc="4D288F20">
      <w:start w:val="1"/>
      <w:numFmt w:val="decimal"/>
      <w:lvlText w:val="%1."/>
      <w:lvlJc w:val="left"/>
      <w:pPr>
        <w:ind w:left="720" w:hanging="360"/>
      </w:pPr>
      <w:rPr>
        <w:rFonts w:ascii="Azo Sans Lt" w:hAnsi="Azo Sans Lt" w:cs="Tahoma" w:hint="default"/>
        <w:b w:val="0"/>
        <w:i w:val="0"/>
        <w:color w:val="000000" w:themeColor="text1"/>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BAE62DA"/>
    <w:multiLevelType w:val="hybridMultilevel"/>
    <w:tmpl w:val="FE7A1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0EF063C"/>
    <w:multiLevelType w:val="multilevel"/>
    <w:tmpl w:val="93906046"/>
    <w:lvl w:ilvl="0">
      <w:start w:val="6"/>
      <w:numFmt w:val="decimal"/>
      <w:lvlText w:val="%1"/>
      <w:lvlJc w:val="left"/>
      <w:pPr>
        <w:ind w:left="555" w:hanging="55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15:restartNumberingAfterBreak="0">
    <w:nsid w:val="61665B7F"/>
    <w:multiLevelType w:val="hybridMultilevel"/>
    <w:tmpl w:val="5EA671A6"/>
    <w:lvl w:ilvl="0" w:tplc="6BB20154">
      <w:start w:val="1"/>
      <w:numFmt w:val="decimal"/>
      <w:lvlText w:val="%1."/>
      <w:lvlJc w:val="left"/>
      <w:pPr>
        <w:ind w:left="1440" w:hanging="360"/>
      </w:pPr>
      <w:rPr>
        <w:sz w:val="24"/>
        <w:szCs w:val="24"/>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67267A15"/>
    <w:multiLevelType w:val="multilevel"/>
    <w:tmpl w:val="8DF6BE66"/>
    <w:lvl w:ilvl="0">
      <w:start w:val="6"/>
      <w:numFmt w:val="decimal"/>
      <w:lvlText w:val="%1."/>
      <w:lvlJc w:val="left"/>
      <w:pPr>
        <w:ind w:left="435" w:hanging="435"/>
      </w:pPr>
      <w:rPr>
        <w:rFonts w:ascii="Azo Sans" w:hAnsi="Azo Sans" w:cs="Tahoma" w:hint="default"/>
        <w:b/>
        <w:color w:val="000000" w:themeColor="text1"/>
      </w:rPr>
    </w:lvl>
    <w:lvl w:ilvl="1">
      <w:start w:val="2"/>
      <w:numFmt w:val="decimal"/>
      <w:lvlText w:val="%1.%2."/>
      <w:lvlJc w:val="left"/>
      <w:pPr>
        <w:ind w:left="1004" w:hanging="720"/>
      </w:pPr>
      <w:rPr>
        <w:rFonts w:ascii="Azo Sans" w:hAnsi="Azo Sans" w:cs="Tahoma" w:hint="default"/>
        <w:b/>
        <w:color w:val="000000" w:themeColor="text1"/>
      </w:rPr>
    </w:lvl>
    <w:lvl w:ilvl="2">
      <w:start w:val="1"/>
      <w:numFmt w:val="decimal"/>
      <w:lvlText w:val="%1.%2.%3."/>
      <w:lvlJc w:val="left"/>
      <w:pPr>
        <w:ind w:left="1288" w:hanging="720"/>
      </w:pPr>
      <w:rPr>
        <w:rFonts w:ascii="Azo Sans" w:hAnsi="Azo Sans" w:cs="Tahoma" w:hint="default"/>
        <w:b/>
        <w:color w:val="000000" w:themeColor="text1"/>
      </w:rPr>
    </w:lvl>
    <w:lvl w:ilvl="3">
      <w:start w:val="1"/>
      <w:numFmt w:val="decimal"/>
      <w:lvlText w:val="%1.%2.%3.%4."/>
      <w:lvlJc w:val="left"/>
      <w:pPr>
        <w:ind w:left="1932" w:hanging="1080"/>
      </w:pPr>
      <w:rPr>
        <w:rFonts w:ascii="Azo Sans" w:hAnsi="Azo Sans" w:cs="Tahoma" w:hint="default"/>
        <w:b/>
        <w:color w:val="000000" w:themeColor="text1"/>
      </w:rPr>
    </w:lvl>
    <w:lvl w:ilvl="4">
      <w:start w:val="1"/>
      <w:numFmt w:val="decimal"/>
      <w:lvlText w:val="%1.%2.%3.%4.%5."/>
      <w:lvlJc w:val="left"/>
      <w:pPr>
        <w:ind w:left="2216" w:hanging="1080"/>
      </w:pPr>
      <w:rPr>
        <w:rFonts w:ascii="Azo Sans" w:hAnsi="Azo Sans" w:cs="Tahoma" w:hint="default"/>
        <w:b/>
        <w:color w:val="000000" w:themeColor="text1"/>
      </w:rPr>
    </w:lvl>
    <w:lvl w:ilvl="5">
      <w:start w:val="1"/>
      <w:numFmt w:val="decimal"/>
      <w:lvlText w:val="%1.%2.%3.%4.%5.%6."/>
      <w:lvlJc w:val="left"/>
      <w:pPr>
        <w:ind w:left="2860" w:hanging="1440"/>
      </w:pPr>
      <w:rPr>
        <w:rFonts w:ascii="Azo Sans" w:hAnsi="Azo Sans" w:cs="Tahoma" w:hint="default"/>
        <w:b/>
        <w:color w:val="000000" w:themeColor="text1"/>
      </w:rPr>
    </w:lvl>
    <w:lvl w:ilvl="6">
      <w:start w:val="1"/>
      <w:numFmt w:val="decimal"/>
      <w:lvlText w:val="%1.%2.%3.%4.%5.%6.%7."/>
      <w:lvlJc w:val="left"/>
      <w:pPr>
        <w:ind w:left="3144" w:hanging="1440"/>
      </w:pPr>
      <w:rPr>
        <w:rFonts w:ascii="Azo Sans" w:hAnsi="Azo Sans" w:cs="Tahoma" w:hint="default"/>
        <w:b/>
        <w:color w:val="000000" w:themeColor="text1"/>
      </w:rPr>
    </w:lvl>
    <w:lvl w:ilvl="7">
      <w:start w:val="1"/>
      <w:numFmt w:val="decimal"/>
      <w:lvlText w:val="%1.%2.%3.%4.%5.%6.%7.%8."/>
      <w:lvlJc w:val="left"/>
      <w:pPr>
        <w:ind w:left="3788" w:hanging="1800"/>
      </w:pPr>
      <w:rPr>
        <w:rFonts w:ascii="Azo Sans" w:hAnsi="Azo Sans" w:cs="Tahoma" w:hint="default"/>
        <w:b/>
        <w:color w:val="000000" w:themeColor="text1"/>
      </w:rPr>
    </w:lvl>
    <w:lvl w:ilvl="8">
      <w:start w:val="1"/>
      <w:numFmt w:val="decimal"/>
      <w:lvlText w:val="%1.%2.%3.%4.%5.%6.%7.%8.%9."/>
      <w:lvlJc w:val="left"/>
      <w:pPr>
        <w:ind w:left="4432" w:hanging="2160"/>
      </w:pPr>
      <w:rPr>
        <w:rFonts w:ascii="Azo Sans" w:hAnsi="Azo Sans" w:cs="Tahoma" w:hint="default"/>
        <w:b/>
        <w:color w:val="000000" w:themeColor="text1"/>
      </w:rPr>
    </w:lvl>
  </w:abstractNum>
  <w:abstractNum w:abstractNumId="30" w15:restartNumberingAfterBreak="0">
    <w:nsid w:val="6B82281A"/>
    <w:multiLevelType w:val="hybridMultilevel"/>
    <w:tmpl w:val="570618C8"/>
    <w:lvl w:ilvl="0" w:tplc="10B67262">
      <w:start w:val="6"/>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6F26D06"/>
    <w:multiLevelType w:val="multilevel"/>
    <w:tmpl w:val="7482418A"/>
    <w:lvl w:ilvl="0">
      <w:start w:val="1"/>
      <w:numFmt w:val="decimal"/>
      <w:lvlText w:val="%1."/>
      <w:lvlJc w:val="left"/>
      <w:pPr>
        <w:ind w:left="1440" w:hanging="360"/>
      </w:pPr>
    </w:lvl>
    <w:lvl w:ilvl="1">
      <w:start w:val="5"/>
      <w:numFmt w:val="decimal"/>
      <w:isLgl/>
      <w:lvlText w:val="%1.%2."/>
      <w:lvlJc w:val="left"/>
      <w:pPr>
        <w:ind w:left="1935" w:hanging="855"/>
      </w:pPr>
      <w:rPr>
        <w:rFonts w:hint="default"/>
        <w:color w:val="00B0F0"/>
      </w:rPr>
    </w:lvl>
    <w:lvl w:ilvl="2">
      <w:start w:val="1"/>
      <w:numFmt w:val="decimal"/>
      <w:isLgl/>
      <w:lvlText w:val="%1.%2.%3."/>
      <w:lvlJc w:val="left"/>
      <w:pPr>
        <w:ind w:left="1935" w:hanging="855"/>
      </w:pPr>
      <w:rPr>
        <w:rFonts w:hint="default"/>
        <w:color w:val="00B0F0"/>
      </w:rPr>
    </w:lvl>
    <w:lvl w:ilvl="3">
      <w:start w:val="2"/>
      <w:numFmt w:val="decimal"/>
      <w:isLgl/>
      <w:lvlText w:val="%1.%2.%3.%4."/>
      <w:lvlJc w:val="left"/>
      <w:pPr>
        <w:ind w:left="2160" w:hanging="1080"/>
      </w:pPr>
      <w:rPr>
        <w:rFonts w:hint="default"/>
        <w:color w:val="00B0F0"/>
      </w:rPr>
    </w:lvl>
    <w:lvl w:ilvl="4">
      <w:start w:val="1"/>
      <w:numFmt w:val="decimal"/>
      <w:isLgl/>
      <w:lvlText w:val="%1.%2.%3.%4.%5."/>
      <w:lvlJc w:val="left"/>
      <w:pPr>
        <w:ind w:left="2520" w:hanging="1440"/>
      </w:pPr>
      <w:rPr>
        <w:rFonts w:hint="default"/>
        <w:color w:val="00B0F0"/>
      </w:rPr>
    </w:lvl>
    <w:lvl w:ilvl="5">
      <w:start w:val="1"/>
      <w:numFmt w:val="decimal"/>
      <w:isLgl/>
      <w:lvlText w:val="%1.%2.%3.%4.%5.%6."/>
      <w:lvlJc w:val="left"/>
      <w:pPr>
        <w:ind w:left="2520" w:hanging="1440"/>
      </w:pPr>
      <w:rPr>
        <w:rFonts w:hint="default"/>
        <w:color w:val="00B0F0"/>
      </w:rPr>
    </w:lvl>
    <w:lvl w:ilvl="6">
      <w:start w:val="1"/>
      <w:numFmt w:val="decimal"/>
      <w:isLgl/>
      <w:lvlText w:val="%1.%2.%3.%4.%5.%6.%7."/>
      <w:lvlJc w:val="left"/>
      <w:pPr>
        <w:ind w:left="2880" w:hanging="1800"/>
      </w:pPr>
      <w:rPr>
        <w:rFonts w:hint="default"/>
        <w:color w:val="00B0F0"/>
      </w:rPr>
    </w:lvl>
    <w:lvl w:ilvl="7">
      <w:start w:val="1"/>
      <w:numFmt w:val="decimal"/>
      <w:isLgl/>
      <w:lvlText w:val="%1.%2.%3.%4.%5.%6.%7.%8."/>
      <w:lvlJc w:val="left"/>
      <w:pPr>
        <w:ind w:left="2880" w:hanging="1800"/>
      </w:pPr>
      <w:rPr>
        <w:rFonts w:hint="default"/>
        <w:color w:val="00B0F0"/>
      </w:rPr>
    </w:lvl>
    <w:lvl w:ilvl="8">
      <w:start w:val="1"/>
      <w:numFmt w:val="decimal"/>
      <w:isLgl/>
      <w:lvlText w:val="%1.%2.%3.%4.%5.%6.%7.%8.%9."/>
      <w:lvlJc w:val="left"/>
      <w:pPr>
        <w:ind w:left="3240" w:hanging="2160"/>
      </w:pPr>
      <w:rPr>
        <w:rFonts w:hint="default"/>
        <w:color w:val="00B0F0"/>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15"/>
  </w:num>
  <w:num w:numId="8">
    <w:abstractNumId w:val="21"/>
  </w:num>
  <w:num w:numId="9">
    <w:abstractNumId w:val="26"/>
  </w:num>
  <w:num w:numId="10">
    <w:abstractNumId w:val="6"/>
  </w:num>
  <w:num w:numId="11">
    <w:abstractNumId w:val="28"/>
  </w:num>
  <w:num w:numId="12">
    <w:abstractNumId w:val="8"/>
  </w:num>
  <w:num w:numId="13">
    <w:abstractNumId w:val="31"/>
  </w:num>
  <w:num w:numId="14">
    <w:abstractNumId w:val="20"/>
  </w:num>
  <w:num w:numId="15">
    <w:abstractNumId w:val="12"/>
  </w:num>
  <w:num w:numId="16">
    <w:abstractNumId w:val="17"/>
  </w:num>
  <w:num w:numId="17">
    <w:abstractNumId w:val="24"/>
  </w:num>
  <w:num w:numId="18">
    <w:abstractNumId w:val="22"/>
  </w:num>
  <w:num w:numId="19">
    <w:abstractNumId w:val="29"/>
  </w:num>
  <w:num w:numId="20">
    <w:abstractNumId w:val="27"/>
  </w:num>
  <w:num w:numId="21">
    <w:abstractNumId w:val="19"/>
  </w:num>
  <w:num w:numId="22">
    <w:abstractNumId w:val="9"/>
  </w:num>
  <w:num w:numId="23">
    <w:abstractNumId w:val="14"/>
  </w:num>
  <w:num w:numId="24">
    <w:abstractNumId w:val="23"/>
  </w:num>
  <w:num w:numId="25">
    <w:abstractNumId w:val="5"/>
  </w:num>
  <w:num w:numId="26">
    <w:abstractNumId w:val="25"/>
  </w:num>
  <w:num w:numId="27">
    <w:abstractNumId w:val="10"/>
  </w:num>
  <w:num w:numId="28">
    <w:abstractNumId w:val="13"/>
  </w:num>
  <w:num w:numId="29">
    <w:abstractNumId w:val="18"/>
  </w:num>
  <w:num w:numId="30">
    <w:abstractNumId w:val="16"/>
  </w:num>
  <w:num w:numId="31">
    <w:abstractNumId w:val="30"/>
  </w:num>
  <w:num w:numId="3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pt-BR"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ES" w:vendorID="64" w:dllVersion="6" w:nlCheck="1" w:checkStyle="0"/>
  <w:activeWritingStyle w:appName="MSWord" w:lang="es-MX" w:vendorID="64" w:dllVersion="4096" w:nlCheck="1" w:checkStyle="0"/>
  <w:activeWritingStyle w:appName="MSWord" w:lang="es-ES_tradnl" w:vendorID="64" w:dllVersion="4096" w:nlCheck="1" w:checkStyle="0"/>
  <w:activeWritingStyle w:appName="MSWord" w:lang="es-ES" w:vendorID="64" w:dllVersion="4096" w:nlCheck="1" w:checkStyle="0"/>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0C5C"/>
    <w:rsid w:val="00004DC7"/>
    <w:rsid w:val="00012E7D"/>
    <w:rsid w:val="00017CCF"/>
    <w:rsid w:val="00020AB9"/>
    <w:rsid w:val="00021A1B"/>
    <w:rsid w:val="000220EE"/>
    <w:rsid w:val="00024202"/>
    <w:rsid w:val="000356E2"/>
    <w:rsid w:val="00041F71"/>
    <w:rsid w:val="00057580"/>
    <w:rsid w:val="000576D1"/>
    <w:rsid w:val="000635C6"/>
    <w:rsid w:val="000653AE"/>
    <w:rsid w:val="00065585"/>
    <w:rsid w:val="0007280D"/>
    <w:rsid w:val="00077F75"/>
    <w:rsid w:val="000832AD"/>
    <w:rsid w:val="000866AE"/>
    <w:rsid w:val="00086C95"/>
    <w:rsid w:val="0009014C"/>
    <w:rsid w:val="0009136B"/>
    <w:rsid w:val="00091E2B"/>
    <w:rsid w:val="00093A8B"/>
    <w:rsid w:val="00096086"/>
    <w:rsid w:val="000A2FE8"/>
    <w:rsid w:val="000A3B30"/>
    <w:rsid w:val="000A3DB5"/>
    <w:rsid w:val="000B55D9"/>
    <w:rsid w:val="000C37F1"/>
    <w:rsid w:val="000C7B20"/>
    <w:rsid w:val="000D3021"/>
    <w:rsid w:val="000D52B0"/>
    <w:rsid w:val="000D72F8"/>
    <w:rsid w:val="000D732A"/>
    <w:rsid w:val="000E1B9F"/>
    <w:rsid w:val="000F25C1"/>
    <w:rsid w:val="000F2E38"/>
    <w:rsid w:val="00113BF6"/>
    <w:rsid w:val="00120166"/>
    <w:rsid w:val="00124384"/>
    <w:rsid w:val="00124B03"/>
    <w:rsid w:val="001310F6"/>
    <w:rsid w:val="0013365D"/>
    <w:rsid w:val="00142B50"/>
    <w:rsid w:val="00144AA0"/>
    <w:rsid w:val="00155A95"/>
    <w:rsid w:val="001575ED"/>
    <w:rsid w:val="001610C1"/>
    <w:rsid w:val="001629EF"/>
    <w:rsid w:val="00171261"/>
    <w:rsid w:val="0017263E"/>
    <w:rsid w:val="001746D7"/>
    <w:rsid w:val="00174A52"/>
    <w:rsid w:val="0018476E"/>
    <w:rsid w:val="001936E6"/>
    <w:rsid w:val="00194A6A"/>
    <w:rsid w:val="001A3598"/>
    <w:rsid w:val="001A50DD"/>
    <w:rsid w:val="001B1D54"/>
    <w:rsid w:val="001B5AC0"/>
    <w:rsid w:val="001B7E4B"/>
    <w:rsid w:val="001C284A"/>
    <w:rsid w:val="001C2A46"/>
    <w:rsid w:val="001C65B5"/>
    <w:rsid w:val="001D237B"/>
    <w:rsid w:val="001D2947"/>
    <w:rsid w:val="001E0465"/>
    <w:rsid w:val="001E33C1"/>
    <w:rsid w:val="001E3565"/>
    <w:rsid w:val="001F7516"/>
    <w:rsid w:val="00204269"/>
    <w:rsid w:val="00212774"/>
    <w:rsid w:val="00213B36"/>
    <w:rsid w:val="00225F33"/>
    <w:rsid w:val="00226739"/>
    <w:rsid w:val="002353B3"/>
    <w:rsid w:val="00235CE7"/>
    <w:rsid w:val="00236500"/>
    <w:rsid w:val="0023700A"/>
    <w:rsid w:val="00237E22"/>
    <w:rsid w:val="00237EC9"/>
    <w:rsid w:val="00240BB7"/>
    <w:rsid w:val="002420D7"/>
    <w:rsid w:val="00242FD9"/>
    <w:rsid w:val="00243F73"/>
    <w:rsid w:val="00244CBA"/>
    <w:rsid w:val="00247EA8"/>
    <w:rsid w:val="00252E0D"/>
    <w:rsid w:val="002678B0"/>
    <w:rsid w:val="00270021"/>
    <w:rsid w:val="002837B6"/>
    <w:rsid w:val="002837C7"/>
    <w:rsid w:val="002839D9"/>
    <w:rsid w:val="002905D1"/>
    <w:rsid w:val="00292693"/>
    <w:rsid w:val="002A0AB2"/>
    <w:rsid w:val="002A4266"/>
    <w:rsid w:val="002B28CF"/>
    <w:rsid w:val="002C12F2"/>
    <w:rsid w:val="002C4576"/>
    <w:rsid w:val="002C7927"/>
    <w:rsid w:val="002D77B3"/>
    <w:rsid w:val="002E095F"/>
    <w:rsid w:val="002E0F6C"/>
    <w:rsid w:val="002E17B4"/>
    <w:rsid w:val="002E544D"/>
    <w:rsid w:val="002F463D"/>
    <w:rsid w:val="0030004D"/>
    <w:rsid w:val="00303720"/>
    <w:rsid w:val="00317EC1"/>
    <w:rsid w:val="00323580"/>
    <w:rsid w:val="00333ACF"/>
    <w:rsid w:val="00342E96"/>
    <w:rsid w:val="003514E3"/>
    <w:rsid w:val="00351BFE"/>
    <w:rsid w:val="00351FE0"/>
    <w:rsid w:val="003662AF"/>
    <w:rsid w:val="00373AB3"/>
    <w:rsid w:val="00377C7D"/>
    <w:rsid w:val="00382DAD"/>
    <w:rsid w:val="00390E9E"/>
    <w:rsid w:val="0039354C"/>
    <w:rsid w:val="00394F98"/>
    <w:rsid w:val="0039626C"/>
    <w:rsid w:val="003A05F7"/>
    <w:rsid w:val="003A0D76"/>
    <w:rsid w:val="003A469A"/>
    <w:rsid w:val="003A67A0"/>
    <w:rsid w:val="003B4F57"/>
    <w:rsid w:val="003B5A08"/>
    <w:rsid w:val="003B70F6"/>
    <w:rsid w:val="003C4FD6"/>
    <w:rsid w:val="003C5FCB"/>
    <w:rsid w:val="003D063F"/>
    <w:rsid w:val="003D60BE"/>
    <w:rsid w:val="003D694A"/>
    <w:rsid w:val="003E646C"/>
    <w:rsid w:val="003F068E"/>
    <w:rsid w:val="003F0B55"/>
    <w:rsid w:val="003F4347"/>
    <w:rsid w:val="00400F6D"/>
    <w:rsid w:val="004018AA"/>
    <w:rsid w:val="00401AD2"/>
    <w:rsid w:val="004022B6"/>
    <w:rsid w:val="004050DA"/>
    <w:rsid w:val="004156C6"/>
    <w:rsid w:val="00416131"/>
    <w:rsid w:val="00416E61"/>
    <w:rsid w:val="00417F9A"/>
    <w:rsid w:val="00420C83"/>
    <w:rsid w:val="00425874"/>
    <w:rsid w:val="0042672E"/>
    <w:rsid w:val="00431C68"/>
    <w:rsid w:val="00432B60"/>
    <w:rsid w:val="00435E36"/>
    <w:rsid w:val="00437415"/>
    <w:rsid w:val="00437885"/>
    <w:rsid w:val="004408D0"/>
    <w:rsid w:val="00443684"/>
    <w:rsid w:val="00453F22"/>
    <w:rsid w:val="00454F6F"/>
    <w:rsid w:val="0046150E"/>
    <w:rsid w:val="00472616"/>
    <w:rsid w:val="00482724"/>
    <w:rsid w:val="00483CE4"/>
    <w:rsid w:val="00484AE9"/>
    <w:rsid w:val="00485A2A"/>
    <w:rsid w:val="004865F5"/>
    <w:rsid w:val="00487BCE"/>
    <w:rsid w:val="004918F4"/>
    <w:rsid w:val="0049760E"/>
    <w:rsid w:val="004A3CAA"/>
    <w:rsid w:val="004A6692"/>
    <w:rsid w:val="004A706E"/>
    <w:rsid w:val="004B1005"/>
    <w:rsid w:val="004B4CCE"/>
    <w:rsid w:val="004B6ACC"/>
    <w:rsid w:val="004B6D3D"/>
    <w:rsid w:val="004B7197"/>
    <w:rsid w:val="004C33C6"/>
    <w:rsid w:val="004D33BF"/>
    <w:rsid w:val="004D5F75"/>
    <w:rsid w:val="004E750C"/>
    <w:rsid w:val="004F6ADF"/>
    <w:rsid w:val="004F7052"/>
    <w:rsid w:val="004F7246"/>
    <w:rsid w:val="004F757B"/>
    <w:rsid w:val="005053B1"/>
    <w:rsid w:val="00506F7F"/>
    <w:rsid w:val="00507A4E"/>
    <w:rsid w:val="0051096A"/>
    <w:rsid w:val="00512142"/>
    <w:rsid w:val="0052199A"/>
    <w:rsid w:val="00522572"/>
    <w:rsid w:val="005265DE"/>
    <w:rsid w:val="0053051B"/>
    <w:rsid w:val="00537512"/>
    <w:rsid w:val="0054169A"/>
    <w:rsid w:val="00542830"/>
    <w:rsid w:val="0054358D"/>
    <w:rsid w:val="005545A8"/>
    <w:rsid w:val="0055662B"/>
    <w:rsid w:val="00560C33"/>
    <w:rsid w:val="005615F1"/>
    <w:rsid w:val="00565F4B"/>
    <w:rsid w:val="00572103"/>
    <w:rsid w:val="0057428C"/>
    <w:rsid w:val="00575F68"/>
    <w:rsid w:val="005762FF"/>
    <w:rsid w:val="00577EE2"/>
    <w:rsid w:val="0058241E"/>
    <w:rsid w:val="005825FA"/>
    <w:rsid w:val="00587D10"/>
    <w:rsid w:val="00590A08"/>
    <w:rsid w:val="005A61FD"/>
    <w:rsid w:val="005B0393"/>
    <w:rsid w:val="005B0D54"/>
    <w:rsid w:val="005B4707"/>
    <w:rsid w:val="005B7D11"/>
    <w:rsid w:val="005C0DD0"/>
    <w:rsid w:val="005C2E39"/>
    <w:rsid w:val="005C6F68"/>
    <w:rsid w:val="005D01E7"/>
    <w:rsid w:val="005D132B"/>
    <w:rsid w:val="005D330F"/>
    <w:rsid w:val="005D4F52"/>
    <w:rsid w:val="005E2890"/>
    <w:rsid w:val="005E37E3"/>
    <w:rsid w:val="005F0320"/>
    <w:rsid w:val="00605575"/>
    <w:rsid w:val="006073B9"/>
    <w:rsid w:val="006109A4"/>
    <w:rsid w:val="0061316C"/>
    <w:rsid w:val="006148A9"/>
    <w:rsid w:val="00616467"/>
    <w:rsid w:val="00620136"/>
    <w:rsid w:val="006220BB"/>
    <w:rsid w:val="006277A4"/>
    <w:rsid w:val="00636B1B"/>
    <w:rsid w:val="00640565"/>
    <w:rsid w:val="0064276E"/>
    <w:rsid w:val="00646E92"/>
    <w:rsid w:val="00652FD9"/>
    <w:rsid w:val="006671AC"/>
    <w:rsid w:val="00672E77"/>
    <w:rsid w:val="00677B6D"/>
    <w:rsid w:val="00680C49"/>
    <w:rsid w:val="00684BD6"/>
    <w:rsid w:val="00694080"/>
    <w:rsid w:val="006A28C1"/>
    <w:rsid w:val="006A3305"/>
    <w:rsid w:val="006A4E65"/>
    <w:rsid w:val="006A5474"/>
    <w:rsid w:val="006B0655"/>
    <w:rsid w:val="006C2E47"/>
    <w:rsid w:val="006C508B"/>
    <w:rsid w:val="006E4310"/>
    <w:rsid w:val="006F1F8C"/>
    <w:rsid w:val="006F3C93"/>
    <w:rsid w:val="006F4095"/>
    <w:rsid w:val="006F5D6E"/>
    <w:rsid w:val="006F6186"/>
    <w:rsid w:val="00701DBD"/>
    <w:rsid w:val="00707D73"/>
    <w:rsid w:val="007121BB"/>
    <w:rsid w:val="00717865"/>
    <w:rsid w:val="00721F89"/>
    <w:rsid w:val="007306DC"/>
    <w:rsid w:val="00731177"/>
    <w:rsid w:val="00737A8E"/>
    <w:rsid w:val="0074012F"/>
    <w:rsid w:val="00741AC0"/>
    <w:rsid w:val="007506C4"/>
    <w:rsid w:val="0075256A"/>
    <w:rsid w:val="007709A2"/>
    <w:rsid w:val="00773555"/>
    <w:rsid w:val="00782846"/>
    <w:rsid w:val="00783106"/>
    <w:rsid w:val="00785798"/>
    <w:rsid w:val="00787EF9"/>
    <w:rsid w:val="00790DBB"/>
    <w:rsid w:val="00792C13"/>
    <w:rsid w:val="00795652"/>
    <w:rsid w:val="007A1B80"/>
    <w:rsid w:val="007A37AF"/>
    <w:rsid w:val="007A430C"/>
    <w:rsid w:val="007A656B"/>
    <w:rsid w:val="007A6717"/>
    <w:rsid w:val="007B374E"/>
    <w:rsid w:val="007B604F"/>
    <w:rsid w:val="007C216A"/>
    <w:rsid w:val="007C3BC4"/>
    <w:rsid w:val="007C704D"/>
    <w:rsid w:val="007D0EF1"/>
    <w:rsid w:val="007F2993"/>
    <w:rsid w:val="00813E8A"/>
    <w:rsid w:val="00823294"/>
    <w:rsid w:val="0083037F"/>
    <w:rsid w:val="00834A55"/>
    <w:rsid w:val="00841BC6"/>
    <w:rsid w:val="0084348A"/>
    <w:rsid w:val="0084477A"/>
    <w:rsid w:val="00846B91"/>
    <w:rsid w:val="00862E8E"/>
    <w:rsid w:val="008707EE"/>
    <w:rsid w:val="00872B91"/>
    <w:rsid w:val="0088104C"/>
    <w:rsid w:val="00882237"/>
    <w:rsid w:val="008832BA"/>
    <w:rsid w:val="00891095"/>
    <w:rsid w:val="0089701C"/>
    <w:rsid w:val="008970B9"/>
    <w:rsid w:val="008A0B7A"/>
    <w:rsid w:val="008A632F"/>
    <w:rsid w:val="008C5629"/>
    <w:rsid w:val="008C615E"/>
    <w:rsid w:val="008D0A2F"/>
    <w:rsid w:val="008D1F28"/>
    <w:rsid w:val="008E3524"/>
    <w:rsid w:val="008E74C5"/>
    <w:rsid w:val="008F5C38"/>
    <w:rsid w:val="008F718B"/>
    <w:rsid w:val="008F7CD0"/>
    <w:rsid w:val="009039EF"/>
    <w:rsid w:val="00917DE3"/>
    <w:rsid w:val="00921EF9"/>
    <w:rsid w:val="00931C5B"/>
    <w:rsid w:val="00934257"/>
    <w:rsid w:val="00937B6D"/>
    <w:rsid w:val="00942E04"/>
    <w:rsid w:val="00943EA8"/>
    <w:rsid w:val="00944D0C"/>
    <w:rsid w:val="00946E1C"/>
    <w:rsid w:val="00947538"/>
    <w:rsid w:val="00954314"/>
    <w:rsid w:val="0095489E"/>
    <w:rsid w:val="00965ACC"/>
    <w:rsid w:val="0097329B"/>
    <w:rsid w:val="00974E9A"/>
    <w:rsid w:val="00983BB9"/>
    <w:rsid w:val="0098589B"/>
    <w:rsid w:val="00996895"/>
    <w:rsid w:val="009B58ED"/>
    <w:rsid w:val="009B73ED"/>
    <w:rsid w:val="009C49E1"/>
    <w:rsid w:val="009D513C"/>
    <w:rsid w:val="009D576C"/>
    <w:rsid w:val="009D71EE"/>
    <w:rsid w:val="009E36BB"/>
    <w:rsid w:val="009F1A5E"/>
    <w:rsid w:val="009F1FA7"/>
    <w:rsid w:val="00A02AFF"/>
    <w:rsid w:val="00A07E2C"/>
    <w:rsid w:val="00A124A0"/>
    <w:rsid w:val="00A20953"/>
    <w:rsid w:val="00A21FF9"/>
    <w:rsid w:val="00A22CD7"/>
    <w:rsid w:val="00A22D64"/>
    <w:rsid w:val="00A301DC"/>
    <w:rsid w:val="00A30819"/>
    <w:rsid w:val="00A34164"/>
    <w:rsid w:val="00A42AB6"/>
    <w:rsid w:val="00A431C4"/>
    <w:rsid w:val="00A43F05"/>
    <w:rsid w:val="00A54760"/>
    <w:rsid w:val="00A62B64"/>
    <w:rsid w:val="00A64D67"/>
    <w:rsid w:val="00A67C49"/>
    <w:rsid w:val="00A7185F"/>
    <w:rsid w:val="00A74087"/>
    <w:rsid w:val="00A748B3"/>
    <w:rsid w:val="00A90AA7"/>
    <w:rsid w:val="00A93893"/>
    <w:rsid w:val="00AA0ABD"/>
    <w:rsid w:val="00AA78F4"/>
    <w:rsid w:val="00AB0ED0"/>
    <w:rsid w:val="00AB14BB"/>
    <w:rsid w:val="00AB1995"/>
    <w:rsid w:val="00AC59C9"/>
    <w:rsid w:val="00AC7F36"/>
    <w:rsid w:val="00AD346A"/>
    <w:rsid w:val="00AE17FC"/>
    <w:rsid w:val="00AE76A8"/>
    <w:rsid w:val="00AF13A3"/>
    <w:rsid w:val="00B00BD2"/>
    <w:rsid w:val="00B12FB8"/>
    <w:rsid w:val="00B133C2"/>
    <w:rsid w:val="00B13CF6"/>
    <w:rsid w:val="00B146BA"/>
    <w:rsid w:val="00B14D9C"/>
    <w:rsid w:val="00B15E01"/>
    <w:rsid w:val="00B17014"/>
    <w:rsid w:val="00B1775A"/>
    <w:rsid w:val="00B22133"/>
    <w:rsid w:val="00B233AF"/>
    <w:rsid w:val="00B331EB"/>
    <w:rsid w:val="00B361FF"/>
    <w:rsid w:val="00B454CC"/>
    <w:rsid w:val="00B477A0"/>
    <w:rsid w:val="00B5292A"/>
    <w:rsid w:val="00B537BA"/>
    <w:rsid w:val="00B572D5"/>
    <w:rsid w:val="00B577CD"/>
    <w:rsid w:val="00B57FA6"/>
    <w:rsid w:val="00B649AA"/>
    <w:rsid w:val="00B653D8"/>
    <w:rsid w:val="00B74B15"/>
    <w:rsid w:val="00B81076"/>
    <w:rsid w:val="00B85CA0"/>
    <w:rsid w:val="00B86753"/>
    <w:rsid w:val="00B91CC3"/>
    <w:rsid w:val="00B938C3"/>
    <w:rsid w:val="00B959B7"/>
    <w:rsid w:val="00BA5848"/>
    <w:rsid w:val="00BB2178"/>
    <w:rsid w:val="00BB435A"/>
    <w:rsid w:val="00BB7876"/>
    <w:rsid w:val="00BC2D08"/>
    <w:rsid w:val="00BC4F01"/>
    <w:rsid w:val="00BC5676"/>
    <w:rsid w:val="00BC5E36"/>
    <w:rsid w:val="00BD2135"/>
    <w:rsid w:val="00BD5D1C"/>
    <w:rsid w:val="00BD7D7E"/>
    <w:rsid w:val="00BE519F"/>
    <w:rsid w:val="00BE7160"/>
    <w:rsid w:val="00BF4C6B"/>
    <w:rsid w:val="00BF4EC9"/>
    <w:rsid w:val="00C07B19"/>
    <w:rsid w:val="00C1475D"/>
    <w:rsid w:val="00C21BA5"/>
    <w:rsid w:val="00C23634"/>
    <w:rsid w:val="00C275C0"/>
    <w:rsid w:val="00C36F5F"/>
    <w:rsid w:val="00C42DD1"/>
    <w:rsid w:val="00C430D1"/>
    <w:rsid w:val="00C45224"/>
    <w:rsid w:val="00C53542"/>
    <w:rsid w:val="00C57135"/>
    <w:rsid w:val="00C66A9E"/>
    <w:rsid w:val="00C749F6"/>
    <w:rsid w:val="00C75D4B"/>
    <w:rsid w:val="00C813D1"/>
    <w:rsid w:val="00C84EAC"/>
    <w:rsid w:val="00C8749D"/>
    <w:rsid w:val="00C95828"/>
    <w:rsid w:val="00CA3629"/>
    <w:rsid w:val="00CA5F56"/>
    <w:rsid w:val="00CA7B7A"/>
    <w:rsid w:val="00CC0972"/>
    <w:rsid w:val="00CC101B"/>
    <w:rsid w:val="00CC212F"/>
    <w:rsid w:val="00CC4277"/>
    <w:rsid w:val="00CD26B2"/>
    <w:rsid w:val="00CE0D6B"/>
    <w:rsid w:val="00CF2AE4"/>
    <w:rsid w:val="00CF52BE"/>
    <w:rsid w:val="00D07458"/>
    <w:rsid w:val="00D1547B"/>
    <w:rsid w:val="00D17BA2"/>
    <w:rsid w:val="00D24DF9"/>
    <w:rsid w:val="00D250FB"/>
    <w:rsid w:val="00D37AAC"/>
    <w:rsid w:val="00D42B76"/>
    <w:rsid w:val="00D54676"/>
    <w:rsid w:val="00D5614B"/>
    <w:rsid w:val="00D63073"/>
    <w:rsid w:val="00D712CA"/>
    <w:rsid w:val="00D75CE2"/>
    <w:rsid w:val="00D83FC0"/>
    <w:rsid w:val="00D84D2E"/>
    <w:rsid w:val="00D852C2"/>
    <w:rsid w:val="00D93A15"/>
    <w:rsid w:val="00D967C8"/>
    <w:rsid w:val="00DA0CEC"/>
    <w:rsid w:val="00DA2B89"/>
    <w:rsid w:val="00DA7B0F"/>
    <w:rsid w:val="00DB0F73"/>
    <w:rsid w:val="00DB30C6"/>
    <w:rsid w:val="00DB35B4"/>
    <w:rsid w:val="00DC37B0"/>
    <w:rsid w:val="00DD6FBD"/>
    <w:rsid w:val="00DE1121"/>
    <w:rsid w:val="00DE1B80"/>
    <w:rsid w:val="00DE690A"/>
    <w:rsid w:val="00DF009C"/>
    <w:rsid w:val="00DF13EE"/>
    <w:rsid w:val="00DF2228"/>
    <w:rsid w:val="00E00E2C"/>
    <w:rsid w:val="00E0107B"/>
    <w:rsid w:val="00E07536"/>
    <w:rsid w:val="00E157F4"/>
    <w:rsid w:val="00E16FD6"/>
    <w:rsid w:val="00E218DE"/>
    <w:rsid w:val="00E2364F"/>
    <w:rsid w:val="00E24BE1"/>
    <w:rsid w:val="00E25675"/>
    <w:rsid w:val="00E26CD1"/>
    <w:rsid w:val="00E271DD"/>
    <w:rsid w:val="00E31E39"/>
    <w:rsid w:val="00E346FC"/>
    <w:rsid w:val="00E35F06"/>
    <w:rsid w:val="00E36A2D"/>
    <w:rsid w:val="00E42A56"/>
    <w:rsid w:val="00E51E0A"/>
    <w:rsid w:val="00E554E9"/>
    <w:rsid w:val="00E60E98"/>
    <w:rsid w:val="00E61199"/>
    <w:rsid w:val="00E75B0B"/>
    <w:rsid w:val="00E7638D"/>
    <w:rsid w:val="00E8356E"/>
    <w:rsid w:val="00E91ACF"/>
    <w:rsid w:val="00E9208F"/>
    <w:rsid w:val="00E92F56"/>
    <w:rsid w:val="00E93AD8"/>
    <w:rsid w:val="00E93E6B"/>
    <w:rsid w:val="00E965E1"/>
    <w:rsid w:val="00EA4D37"/>
    <w:rsid w:val="00EA5203"/>
    <w:rsid w:val="00EB1E3F"/>
    <w:rsid w:val="00EB3C20"/>
    <w:rsid w:val="00EC1AA8"/>
    <w:rsid w:val="00EC1E4E"/>
    <w:rsid w:val="00EE1F80"/>
    <w:rsid w:val="00F003EC"/>
    <w:rsid w:val="00F01DAF"/>
    <w:rsid w:val="00F02048"/>
    <w:rsid w:val="00F037F7"/>
    <w:rsid w:val="00F05499"/>
    <w:rsid w:val="00F0782C"/>
    <w:rsid w:val="00F11394"/>
    <w:rsid w:val="00F205A5"/>
    <w:rsid w:val="00F37618"/>
    <w:rsid w:val="00F40FCE"/>
    <w:rsid w:val="00F455F1"/>
    <w:rsid w:val="00F51420"/>
    <w:rsid w:val="00F52638"/>
    <w:rsid w:val="00F57A53"/>
    <w:rsid w:val="00F61D4B"/>
    <w:rsid w:val="00F62940"/>
    <w:rsid w:val="00F668DE"/>
    <w:rsid w:val="00F67BA7"/>
    <w:rsid w:val="00F7328B"/>
    <w:rsid w:val="00F75622"/>
    <w:rsid w:val="00F77259"/>
    <w:rsid w:val="00F84933"/>
    <w:rsid w:val="00F853C7"/>
    <w:rsid w:val="00F85DDF"/>
    <w:rsid w:val="00F9078B"/>
    <w:rsid w:val="00F911B5"/>
    <w:rsid w:val="00F9240D"/>
    <w:rsid w:val="00FA472A"/>
    <w:rsid w:val="00FA510E"/>
    <w:rsid w:val="00FB0256"/>
    <w:rsid w:val="00FB0B3A"/>
    <w:rsid w:val="00FB1457"/>
    <w:rsid w:val="00FD4900"/>
    <w:rsid w:val="00FD63E5"/>
    <w:rsid w:val="00FD6B70"/>
    <w:rsid w:val="00FD731E"/>
    <w:rsid w:val="00FE007D"/>
    <w:rsid w:val="00FE35AB"/>
    <w:rsid w:val="00FE35EA"/>
    <w:rsid w:val="00FE3E8E"/>
    <w:rsid w:val="00FF66E6"/>
    <w:rsid w:val="00FF73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6F6717"/>
  <w15:docId w15:val="{482F32B8-398F-4F4C-ABD6-A89B94B3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59"/>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basedOn w:val="Normal"/>
    <w:link w:val="TextoCar"/>
    <w:qFormat/>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TextoCar">
    <w:name w:val="Texto Car"/>
    <w:link w:val="Texto"/>
    <w:locked/>
    <w:rsid w:val="00BF4EC9"/>
    <w:rPr>
      <w:rFonts w:ascii="Arial" w:eastAsia="Times New Roman" w:hAnsi="Arial" w:cs="Arial"/>
      <w:sz w:val="18"/>
      <w:szCs w:val="18"/>
      <w:lang w:eastAsia="es-MX"/>
    </w:rPr>
  </w:style>
  <w:style w:type="paragraph" w:customStyle="1" w:styleId="texto0">
    <w:name w:val="texto"/>
    <w:basedOn w:val="Normal"/>
    <w:rsid w:val="00BF4EC9"/>
    <w:pPr>
      <w:spacing w:after="101" w:line="216" w:lineRule="exact"/>
      <w:ind w:firstLine="288"/>
      <w:jc w:val="both"/>
    </w:pPr>
    <w:rPr>
      <w:rFonts w:ascii="Arial" w:hAnsi="Arial" w:cs="Arial"/>
      <w:sz w:val="18"/>
      <w:szCs w:val="18"/>
      <w:lang w:val="es-MX" w:eastAsia="es-MX"/>
    </w:rPr>
  </w:style>
  <w:style w:type="character" w:customStyle="1" w:styleId="ROMANOSCar">
    <w:name w:val="ROMANOS Car"/>
    <w:link w:val="ROMANOS"/>
    <w:locked/>
    <w:rsid w:val="008C615E"/>
    <w:rPr>
      <w:rFonts w:ascii="Arial" w:eastAsia="Calibri" w:hAnsi="Arial" w:cs="Arial"/>
      <w:sz w:val="18"/>
      <w:szCs w:val="18"/>
    </w:rPr>
  </w:style>
  <w:style w:type="paragraph" w:customStyle="1" w:styleId="ROMANOS">
    <w:name w:val="ROMANOS"/>
    <w:basedOn w:val="Normal"/>
    <w:link w:val="ROMANOSCar"/>
    <w:rsid w:val="008C615E"/>
    <w:pPr>
      <w:tabs>
        <w:tab w:val="left" w:pos="720"/>
      </w:tabs>
      <w:spacing w:after="101" w:line="216" w:lineRule="exact"/>
      <w:ind w:left="720" w:hanging="432"/>
      <w:jc w:val="both"/>
    </w:pPr>
    <w:rPr>
      <w:rFonts w:ascii="Arial" w:eastAsia="Calibri" w:hAnsi="Arial" w:cs="Arial"/>
      <w:sz w:val="18"/>
      <w:szCs w:val="18"/>
      <w:lang w:val="es-MX" w:eastAsia="en-US"/>
    </w:rPr>
  </w:style>
  <w:style w:type="paragraph" w:customStyle="1" w:styleId="INCISO">
    <w:name w:val="INCISO"/>
    <w:basedOn w:val="Normal"/>
    <w:rsid w:val="008C615E"/>
    <w:pPr>
      <w:spacing w:after="101" w:line="216" w:lineRule="exact"/>
      <w:ind w:left="1080" w:hanging="360"/>
      <w:jc w:val="both"/>
    </w:pPr>
    <w:rPr>
      <w:rFonts w:ascii="Arial" w:eastAsia="Calibri" w:hAnsi="Arial" w:cs="Arial"/>
      <w:sz w:val="18"/>
      <w:szCs w:val="18"/>
      <w:lang w:val="es-MX" w:eastAsia="en-US"/>
    </w:rPr>
  </w:style>
  <w:style w:type="paragraph" w:customStyle="1" w:styleId="Caracteresenmarcados">
    <w:name w:val="Caracteres enmarcados"/>
    <w:basedOn w:val="Normal"/>
    <w:rsid w:val="002E17B4"/>
  </w:style>
  <w:style w:type="paragraph" w:styleId="Textoindependienteprimerasangra">
    <w:name w:val="Body Text First Indent"/>
    <w:basedOn w:val="Textoindependiente"/>
    <w:link w:val="TextoindependienteprimerasangraCar"/>
    <w:uiPriority w:val="99"/>
    <w:unhideWhenUsed/>
    <w:rsid w:val="002E17B4"/>
    <w:pPr>
      <w:overflowPunct/>
      <w:autoSpaceDE/>
      <w:autoSpaceDN/>
      <w:adjustRightInd/>
      <w:spacing w:line="240" w:lineRule="auto"/>
      <w:ind w:firstLine="360"/>
      <w:jc w:val="left"/>
      <w:textAlignment w:val="auto"/>
    </w:pPr>
    <w:rPr>
      <w:rFonts w:ascii="Courier New" w:hAnsi="Courier New"/>
      <w:bCs w:val="0"/>
      <w:sz w:val="20"/>
    </w:rPr>
  </w:style>
  <w:style w:type="character" w:customStyle="1" w:styleId="TextoindependienteprimerasangraCar">
    <w:name w:val="Texto independiente primera sangría Car"/>
    <w:basedOn w:val="TextoindependienteCar"/>
    <w:link w:val="Textoindependienteprimerasangra"/>
    <w:uiPriority w:val="99"/>
    <w:rsid w:val="002E17B4"/>
    <w:rPr>
      <w:rFonts w:ascii="Courier New" w:eastAsia="Times New Roman" w:hAnsi="Courier New" w:cs="Times New Roman"/>
      <w:bCs w:val="0"/>
      <w:sz w:val="20"/>
      <w:szCs w:val="20"/>
      <w:lang w:val="es-ES_tradnl" w:eastAsia="es-ES"/>
    </w:rPr>
  </w:style>
  <w:style w:type="character" w:customStyle="1" w:styleId="apple-converted-space">
    <w:name w:val="apple-converted-space"/>
    <w:basedOn w:val="Fuentedeprrafopredeter"/>
    <w:rsid w:val="00C749F6"/>
  </w:style>
  <w:style w:type="character" w:styleId="Refdecomentario">
    <w:name w:val="annotation reference"/>
    <w:basedOn w:val="Fuentedeprrafopredeter"/>
    <w:uiPriority w:val="99"/>
    <w:semiHidden/>
    <w:unhideWhenUsed/>
    <w:rsid w:val="00B14D9C"/>
    <w:rPr>
      <w:sz w:val="16"/>
      <w:szCs w:val="16"/>
    </w:rPr>
  </w:style>
  <w:style w:type="paragraph" w:styleId="Textocomentario">
    <w:name w:val="annotation text"/>
    <w:basedOn w:val="Normal"/>
    <w:link w:val="TextocomentarioCar"/>
    <w:uiPriority w:val="99"/>
    <w:unhideWhenUsed/>
    <w:rsid w:val="00B14D9C"/>
  </w:style>
  <w:style w:type="character" w:customStyle="1" w:styleId="TextocomentarioCar">
    <w:name w:val="Texto comentario Car"/>
    <w:basedOn w:val="Fuentedeprrafopredeter"/>
    <w:link w:val="Textocomentario"/>
    <w:uiPriority w:val="99"/>
    <w:rsid w:val="00B14D9C"/>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14D9C"/>
    <w:rPr>
      <w:b/>
      <w:bCs/>
    </w:rPr>
  </w:style>
  <w:style w:type="character" w:customStyle="1" w:styleId="AsuntodelcomentarioCar">
    <w:name w:val="Asunto del comentario Car"/>
    <w:basedOn w:val="TextocomentarioCar"/>
    <w:link w:val="Asuntodelcomentario"/>
    <w:uiPriority w:val="99"/>
    <w:semiHidden/>
    <w:rsid w:val="00B14D9C"/>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818">
      <w:bodyDiv w:val="1"/>
      <w:marLeft w:val="0"/>
      <w:marRight w:val="0"/>
      <w:marTop w:val="0"/>
      <w:marBottom w:val="0"/>
      <w:divBdr>
        <w:top w:val="none" w:sz="0" w:space="0" w:color="auto"/>
        <w:left w:val="none" w:sz="0" w:space="0" w:color="auto"/>
        <w:bottom w:val="none" w:sz="0" w:space="0" w:color="auto"/>
        <w:right w:val="none" w:sz="0" w:space="0" w:color="auto"/>
      </w:divBdr>
    </w:div>
    <w:div w:id="1382561044">
      <w:bodyDiv w:val="1"/>
      <w:marLeft w:val="0"/>
      <w:marRight w:val="0"/>
      <w:marTop w:val="0"/>
      <w:marBottom w:val="0"/>
      <w:divBdr>
        <w:top w:val="none" w:sz="0" w:space="0" w:color="auto"/>
        <w:left w:val="none" w:sz="0" w:space="0" w:color="auto"/>
        <w:bottom w:val="none" w:sz="0" w:space="0" w:color="auto"/>
        <w:right w:val="none" w:sz="0" w:space="0" w:color="auto"/>
      </w:divBdr>
    </w:div>
    <w:div w:id="1491601498">
      <w:bodyDiv w:val="1"/>
      <w:marLeft w:val="0"/>
      <w:marRight w:val="0"/>
      <w:marTop w:val="0"/>
      <w:marBottom w:val="0"/>
      <w:divBdr>
        <w:top w:val="none" w:sz="0" w:space="0" w:color="auto"/>
        <w:left w:val="none" w:sz="0" w:space="0" w:color="auto"/>
        <w:bottom w:val="none" w:sz="0" w:space="0" w:color="auto"/>
        <w:right w:val="none" w:sz="0" w:space="0" w:color="auto"/>
      </w:divBdr>
    </w:div>
    <w:div w:id="1552881001">
      <w:bodyDiv w:val="1"/>
      <w:marLeft w:val="0"/>
      <w:marRight w:val="0"/>
      <w:marTop w:val="0"/>
      <w:marBottom w:val="0"/>
      <w:divBdr>
        <w:top w:val="none" w:sz="0" w:space="0" w:color="auto"/>
        <w:left w:val="none" w:sz="0" w:space="0" w:color="auto"/>
        <w:bottom w:val="none" w:sz="0" w:space="0" w:color="auto"/>
        <w:right w:val="none" w:sz="0" w:space="0" w:color="auto"/>
      </w:divBdr>
    </w:div>
    <w:div w:id="1908954814">
      <w:bodyDiv w:val="1"/>
      <w:marLeft w:val="0"/>
      <w:marRight w:val="0"/>
      <w:marTop w:val="0"/>
      <w:marBottom w:val="0"/>
      <w:divBdr>
        <w:top w:val="none" w:sz="0" w:space="0" w:color="auto"/>
        <w:left w:val="none" w:sz="0" w:space="0" w:color="auto"/>
        <w:bottom w:val="none" w:sz="0" w:space="0" w:color="auto"/>
        <w:right w:val="none" w:sz="0" w:space="0" w:color="auto"/>
      </w:divBdr>
    </w:div>
    <w:div w:id="201622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solidacion.safin.campeche.gob.mx"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4EC611-F878-4296-A052-66C2D8D0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8</Pages>
  <Words>2647</Words>
  <Characters>14563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creator>Presupuestos</dc:creator>
  <cp:lastModifiedBy>Paola</cp:lastModifiedBy>
  <cp:revision>28</cp:revision>
  <cp:lastPrinted>2023-11-24T18:59:00Z</cp:lastPrinted>
  <dcterms:created xsi:type="dcterms:W3CDTF">2023-11-30T21:25:00Z</dcterms:created>
  <dcterms:modified xsi:type="dcterms:W3CDTF">2025-01-24T22:05:00Z</dcterms:modified>
</cp:coreProperties>
</file>